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page" w:tblpX="2170" w:tblpY="4022"/>
        <w:tblOverlap w:val="never"/>
        <w:tblW w:w="8515" w:type="dxa"/>
        <w:tblCellMar>
          <w:left w:w="0" w:type="dxa"/>
          <w:right w:w="0" w:type="dxa"/>
        </w:tblCellMar>
        <w:tblLook w:val="01E0" w:firstRow="1" w:lastRow="1" w:firstColumn="1" w:lastColumn="1" w:noHBand="0" w:noVBand="0"/>
      </w:tblPr>
      <w:tblGrid>
        <w:gridCol w:w="8515"/>
      </w:tblGrid>
      <w:tr w:rsidR="00726E40" w:rsidRPr="00726E40" w14:paraId="226BDB75" w14:textId="77777777" w:rsidTr="00723FA2">
        <w:trPr>
          <w:trHeight w:val="598"/>
        </w:trPr>
        <w:tc>
          <w:tcPr>
            <w:tcW w:w="8515" w:type="dxa"/>
          </w:tcPr>
          <w:p w14:paraId="3B7AE4D4" w14:textId="77777777" w:rsidR="009C14E4" w:rsidRPr="00726E40" w:rsidRDefault="00BE0756" w:rsidP="00622A18">
            <w:pPr>
              <w:pStyle w:val="Heading1"/>
              <w:rPr>
                <w:color w:val="auto"/>
              </w:rPr>
            </w:pPr>
            <w:r w:rsidRPr="00726E40">
              <w:rPr>
                <w:color w:val="auto"/>
              </w:rPr>
              <w:t>Pertwee Estates Limited Retirement Benefits Scheme</w:t>
            </w:r>
          </w:p>
          <w:p w14:paraId="74A96A9C" w14:textId="77777777" w:rsidR="00BE0756" w:rsidRPr="00726E40" w:rsidRDefault="00BE0756" w:rsidP="00723FA2">
            <w:pPr>
              <w:pStyle w:val="Title"/>
              <w:rPr>
                <w:color w:val="auto"/>
              </w:rPr>
            </w:pPr>
          </w:p>
        </w:tc>
      </w:tr>
      <w:tr w:rsidR="00726E40" w:rsidRPr="00726E40" w14:paraId="03A4A5E8" w14:textId="77777777" w:rsidTr="00723FA2">
        <w:trPr>
          <w:trHeight w:val="617"/>
        </w:trPr>
        <w:tc>
          <w:tcPr>
            <w:tcW w:w="8515" w:type="dxa"/>
          </w:tcPr>
          <w:p w14:paraId="1ECEE9DA" w14:textId="77777777" w:rsidR="009C14E4" w:rsidRPr="00726E40" w:rsidRDefault="009C14E4" w:rsidP="00BE0756">
            <w:pPr>
              <w:pStyle w:val="Subtitle"/>
              <w:framePr w:wrap="auto" w:vAnchor="margin" w:hAnchor="text" w:xAlign="left" w:yAlign="inline"/>
              <w:suppressOverlap w:val="0"/>
            </w:pPr>
            <w:r w:rsidRPr="00726E40">
              <w:t>Statement of Investment Principles</w:t>
            </w:r>
          </w:p>
          <w:p w14:paraId="02EE1B94" w14:textId="77777777" w:rsidR="00BE0756" w:rsidRPr="00726E40" w:rsidRDefault="00BE0756" w:rsidP="00BE0756">
            <w:pPr>
              <w:pStyle w:val="Subtitle"/>
              <w:framePr w:wrap="auto" w:vAnchor="margin" w:hAnchor="text" w:xAlign="left" w:yAlign="inline"/>
              <w:suppressOverlap w:val="0"/>
            </w:pPr>
          </w:p>
        </w:tc>
      </w:tr>
      <w:tr w:rsidR="00726E40" w:rsidRPr="00726E40" w14:paraId="0A8DB5A4" w14:textId="77777777" w:rsidTr="00723FA2">
        <w:trPr>
          <w:trHeight w:val="617"/>
        </w:trPr>
        <w:tc>
          <w:tcPr>
            <w:tcW w:w="8515" w:type="dxa"/>
          </w:tcPr>
          <w:p w14:paraId="5E7D5E0B" w14:textId="39870534" w:rsidR="009C14E4" w:rsidRPr="00726E40" w:rsidRDefault="00761D80" w:rsidP="00723FA2">
            <w:pPr>
              <w:pStyle w:val="Date"/>
              <w:rPr>
                <w:b w:val="0"/>
                <w:color w:val="auto"/>
                <w:sz w:val="40"/>
                <w:szCs w:val="40"/>
              </w:rPr>
            </w:pPr>
            <w:r>
              <w:rPr>
                <w:b w:val="0"/>
                <w:color w:val="auto"/>
                <w:sz w:val="40"/>
                <w:szCs w:val="40"/>
              </w:rPr>
              <w:t>January</w:t>
            </w:r>
            <w:r w:rsidR="00014317" w:rsidRPr="00726E40">
              <w:rPr>
                <w:b w:val="0"/>
                <w:color w:val="auto"/>
                <w:sz w:val="40"/>
                <w:szCs w:val="40"/>
              </w:rPr>
              <w:t xml:space="preserve"> </w:t>
            </w:r>
            <w:r w:rsidR="003852F4" w:rsidRPr="00726E40">
              <w:rPr>
                <w:b w:val="0"/>
                <w:color w:val="auto"/>
                <w:sz w:val="40"/>
                <w:szCs w:val="40"/>
              </w:rPr>
              <w:t>202</w:t>
            </w:r>
            <w:r>
              <w:rPr>
                <w:b w:val="0"/>
                <w:color w:val="auto"/>
                <w:sz w:val="40"/>
                <w:szCs w:val="40"/>
              </w:rPr>
              <w:t>4</w:t>
            </w:r>
          </w:p>
        </w:tc>
      </w:tr>
    </w:tbl>
    <w:p w14:paraId="797DFD1C" w14:textId="77777777" w:rsidR="009C14E4" w:rsidRDefault="009C14E4">
      <w:pPr>
        <w:pStyle w:val="ContentsHeading"/>
        <w:rPr>
          <w:color w:val="auto"/>
        </w:rPr>
      </w:pPr>
      <w:r>
        <w:br w:type="page"/>
      </w:r>
      <w:r w:rsidRPr="003E06DD">
        <w:rPr>
          <w:color w:val="auto"/>
        </w:rPr>
        <w:lastRenderedPageBreak/>
        <w:t>Conte</w:t>
      </w:r>
      <w:r w:rsidR="00CC7E6C">
        <w:rPr>
          <w:color w:val="auto"/>
        </w:rPr>
        <w:t>n</w:t>
      </w:r>
      <w:r w:rsidRPr="003E06DD">
        <w:rPr>
          <w:color w:val="auto"/>
        </w:rPr>
        <w:t>ts</w:t>
      </w:r>
    </w:p>
    <w:tbl>
      <w:tblPr>
        <w:tblW w:w="0" w:type="auto"/>
        <w:tblLook w:val="04A0" w:firstRow="1" w:lastRow="0" w:firstColumn="1" w:lastColumn="0" w:noHBand="0" w:noVBand="1"/>
      </w:tblPr>
      <w:tblGrid>
        <w:gridCol w:w="6771"/>
        <w:gridCol w:w="1297"/>
      </w:tblGrid>
      <w:tr w:rsidR="00366CB8" w14:paraId="15F29659" w14:textId="77777777" w:rsidTr="009A46DC">
        <w:tc>
          <w:tcPr>
            <w:tcW w:w="6771" w:type="dxa"/>
            <w:shd w:val="clear" w:color="auto" w:fill="auto"/>
          </w:tcPr>
          <w:p w14:paraId="716425A3" w14:textId="77777777" w:rsidR="00366CB8" w:rsidRPr="009A46DC" w:rsidRDefault="00366CB8" w:rsidP="009A46DC">
            <w:pPr>
              <w:pStyle w:val="Heading1"/>
              <w:tabs>
                <w:tab w:val="left" w:pos="540"/>
              </w:tabs>
              <w:spacing w:before="0" w:after="0"/>
              <w:rPr>
                <w:b/>
                <w:color w:val="auto"/>
                <w:sz w:val="22"/>
                <w:szCs w:val="22"/>
              </w:rPr>
            </w:pPr>
            <w:r w:rsidRPr="009A46DC">
              <w:rPr>
                <w:b/>
                <w:color w:val="auto"/>
                <w:sz w:val="22"/>
                <w:szCs w:val="22"/>
              </w:rPr>
              <w:t>1. Introduction</w:t>
            </w:r>
          </w:p>
        </w:tc>
        <w:tc>
          <w:tcPr>
            <w:tcW w:w="1297" w:type="dxa"/>
            <w:shd w:val="clear" w:color="auto" w:fill="auto"/>
          </w:tcPr>
          <w:p w14:paraId="2A04D1D5" w14:textId="77777777" w:rsidR="00366CB8" w:rsidRPr="009A46DC" w:rsidRDefault="00366CB8" w:rsidP="009A46DC">
            <w:pPr>
              <w:pStyle w:val="Heading1"/>
              <w:tabs>
                <w:tab w:val="left" w:pos="540"/>
              </w:tabs>
              <w:spacing w:before="0" w:after="0"/>
              <w:jc w:val="right"/>
              <w:rPr>
                <w:b/>
                <w:color w:val="auto"/>
                <w:sz w:val="22"/>
                <w:szCs w:val="22"/>
              </w:rPr>
            </w:pPr>
            <w:r w:rsidRPr="009A46DC">
              <w:rPr>
                <w:b/>
                <w:color w:val="auto"/>
                <w:sz w:val="22"/>
                <w:szCs w:val="22"/>
              </w:rPr>
              <w:t>3</w:t>
            </w:r>
          </w:p>
        </w:tc>
      </w:tr>
      <w:tr w:rsidR="00366CB8" w14:paraId="1869EB44" w14:textId="77777777" w:rsidTr="009A46DC">
        <w:tc>
          <w:tcPr>
            <w:tcW w:w="6771" w:type="dxa"/>
            <w:shd w:val="clear" w:color="auto" w:fill="auto"/>
          </w:tcPr>
          <w:p w14:paraId="167E9021" w14:textId="77777777" w:rsidR="00366CB8" w:rsidRPr="009A46DC" w:rsidRDefault="00366CB8" w:rsidP="009A46DC">
            <w:pPr>
              <w:pStyle w:val="Heading1"/>
              <w:tabs>
                <w:tab w:val="left" w:pos="540"/>
              </w:tabs>
              <w:spacing w:before="0" w:after="0"/>
              <w:rPr>
                <w:b/>
                <w:color w:val="auto"/>
                <w:sz w:val="22"/>
                <w:szCs w:val="22"/>
              </w:rPr>
            </w:pPr>
            <w:r w:rsidRPr="009A46DC">
              <w:rPr>
                <w:b/>
                <w:color w:val="auto"/>
                <w:sz w:val="22"/>
                <w:szCs w:val="22"/>
              </w:rPr>
              <w:t xml:space="preserve">2. </w:t>
            </w:r>
            <w:r w:rsidR="007B23CF">
              <w:rPr>
                <w:b/>
                <w:color w:val="auto"/>
                <w:sz w:val="22"/>
                <w:szCs w:val="22"/>
              </w:rPr>
              <w:t xml:space="preserve">Scheme Governance and </w:t>
            </w:r>
            <w:r w:rsidRPr="009A46DC">
              <w:rPr>
                <w:b/>
                <w:color w:val="auto"/>
                <w:sz w:val="22"/>
                <w:szCs w:val="22"/>
              </w:rPr>
              <w:t>Decision Making</w:t>
            </w:r>
          </w:p>
        </w:tc>
        <w:tc>
          <w:tcPr>
            <w:tcW w:w="1297" w:type="dxa"/>
            <w:shd w:val="clear" w:color="auto" w:fill="auto"/>
          </w:tcPr>
          <w:p w14:paraId="106BF385" w14:textId="77777777" w:rsidR="00366CB8" w:rsidRPr="009A46DC" w:rsidRDefault="00366CB8" w:rsidP="009A46DC">
            <w:pPr>
              <w:pStyle w:val="Heading1"/>
              <w:tabs>
                <w:tab w:val="left" w:pos="540"/>
              </w:tabs>
              <w:spacing w:before="0" w:after="0"/>
              <w:jc w:val="right"/>
              <w:rPr>
                <w:b/>
                <w:color w:val="auto"/>
                <w:sz w:val="22"/>
                <w:szCs w:val="22"/>
              </w:rPr>
            </w:pPr>
            <w:r w:rsidRPr="009A46DC">
              <w:rPr>
                <w:b/>
                <w:color w:val="auto"/>
                <w:sz w:val="22"/>
                <w:szCs w:val="22"/>
              </w:rPr>
              <w:t>4</w:t>
            </w:r>
          </w:p>
        </w:tc>
      </w:tr>
      <w:tr w:rsidR="00366CB8" w14:paraId="5E44B641" w14:textId="77777777" w:rsidTr="009A46DC">
        <w:tc>
          <w:tcPr>
            <w:tcW w:w="6771" w:type="dxa"/>
            <w:shd w:val="clear" w:color="auto" w:fill="auto"/>
          </w:tcPr>
          <w:p w14:paraId="32736127" w14:textId="77777777" w:rsidR="00366CB8" w:rsidRPr="009A46DC" w:rsidRDefault="00366CB8" w:rsidP="009A46DC">
            <w:pPr>
              <w:pStyle w:val="Heading1"/>
              <w:tabs>
                <w:tab w:val="left" w:pos="540"/>
              </w:tabs>
              <w:spacing w:before="0" w:after="0"/>
              <w:rPr>
                <w:b/>
                <w:color w:val="auto"/>
                <w:sz w:val="22"/>
                <w:szCs w:val="22"/>
              </w:rPr>
            </w:pPr>
            <w:r w:rsidRPr="009A46DC">
              <w:rPr>
                <w:b/>
                <w:color w:val="auto"/>
                <w:sz w:val="22"/>
                <w:szCs w:val="22"/>
              </w:rPr>
              <w:t>3. Investment Objectives</w:t>
            </w:r>
            <w:r w:rsidR="007B23CF">
              <w:rPr>
                <w:b/>
                <w:color w:val="auto"/>
                <w:sz w:val="22"/>
                <w:szCs w:val="22"/>
              </w:rPr>
              <w:t xml:space="preserve"> and Strategy</w:t>
            </w:r>
          </w:p>
        </w:tc>
        <w:tc>
          <w:tcPr>
            <w:tcW w:w="1297" w:type="dxa"/>
            <w:shd w:val="clear" w:color="auto" w:fill="auto"/>
          </w:tcPr>
          <w:p w14:paraId="0F62D9A8" w14:textId="77777777" w:rsidR="00366CB8" w:rsidRPr="009A46DC" w:rsidRDefault="00366CB8" w:rsidP="009A46DC">
            <w:pPr>
              <w:pStyle w:val="Heading1"/>
              <w:tabs>
                <w:tab w:val="left" w:pos="540"/>
              </w:tabs>
              <w:spacing w:before="0" w:after="0"/>
              <w:jc w:val="right"/>
              <w:rPr>
                <w:b/>
                <w:color w:val="auto"/>
                <w:sz w:val="22"/>
                <w:szCs w:val="22"/>
              </w:rPr>
            </w:pPr>
            <w:r w:rsidRPr="009A46DC">
              <w:rPr>
                <w:b/>
                <w:color w:val="auto"/>
                <w:sz w:val="22"/>
                <w:szCs w:val="22"/>
              </w:rPr>
              <w:t>5</w:t>
            </w:r>
          </w:p>
        </w:tc>
      </w:tr>
      <w:tr w:rsidR="00366CB8" w14:paraId="2E73792B" w14:textId="77777777" w:rsidTr="009A46DC">
        <w:tc>
          <w:tcPr>
            <w:tcW w:w="6771" w:type="dxa"/>
            <w:shd w:val="clear" w:color="auto" w:fill="auto"/>
          </w:tcPr>
          <w:p w14:paraId="0D10CC9C" w14:textId="77777777" w:rsidR="00366CB8" w:rsidRPr="009A46DC" w:rsidRDefault="00366CB8" w:rsidP="007B23CF">
            <w:pPr>
              <w:pStyle w:val="Heading1"/>
              <w:tabs>
                <w:tab w:val="left" w:pos="540"/>
              </w:tabs>
              <w:spacing w:before="0" w:after="0"/>
              <w:rPr>
                <w:b/>
                <w:color w:val="auto"/>
                <w:sz w:val="22"/>
                <w:szCs w:val="22"/>
              </w:rPr>
            </w:pPr>
            <w:r w:rsidRPr="009A46DC">
              <w:rPr>
                <w:b/>
                <w:color w:val="auto"/>
                <w:sz w:val="22"/>
                <w:szCs w:val="22"/>
              </w:rPr>
              <w:t xml:space="preserve">4. </w:t>
            </w:r>
            <w:r w:rsidR="0086392B">
              <w:rPr>
                <w:b/>
                <w:color w:val="auto"/>
                <w:sz w:val="22"/>
                <w:szCs w:val="22"/>
              </w:rPr>
              <w:t>Risks</w:t>
            </w:r>
          </w:p>
        </w:tc>
        <w:tc>
          <w:tcPr>
            <w:tcW w:w="1297" w:type="dxa"/>
            <w:shd w:val="clear" w:color="auto" w:fill="auto"/>
          </w:tcPr>
          <w:p w14:paraId="58862CD9" w14:textId="356D2B55" w:rsidR="00366CB8" w:rsidRPr="009A46DC" w:rsidRDefault="009E6217" w:rsidP="009A46DC">
            <w:pPr>
              <w:pStyle w:val="Heading1"/>
              <w:tabs>
                <w:tab w:val="left" w:pos="540"/>
              </w:tabs>
              <w:spacing w:before="0" w:after="0"/>
              <w:jc w:val="right"/>
              <w:rPr>
                <w:b/>
                <w:color w:val="auto"/>
                <w:sz w:val="22"/>
                <w:szCs w:val="22"/>
              </w:rPr>
            </w:pPr>
            <w:r>
              <w:rPr>
                <w:b/>
                <w:color w:val="auto"/>
                <w:sz w:val="22"/>
                <w:szCs w:val="22"/>
              </w:rPr>
              <w:t>10</w:t>
            </w:r>
          </w:p>
        </w:tc>
      </w:tr>
      <w:tr w:rsidR="00C07431" w14:paraId="675BE37C" w14:textId="77777777" w:rsidTr="009A46DC">
        <w:tc>
          <w:tcPr>
            <w:tcW w:w="6771" w:type="dxa"/>
            <w:shd w:val="clear" w:color="auto" w:fill="auto"/>
          </w:tcPr>
          <w:p w14:paraId="1EFC3586" w14:textId="77777777" w:rsidR="00C07431" w:rsidRPr="009A46DC" w:rsidRDefault="00C07431" w:rsidP="009A46DC">
            <w:pPr>
              <w:pStyle w:val="Heading1"/>
              <w:tabs>
                <w:tab w:val="left" w:pos="540"/>
              </w:tabs>
              <w:spacing w:before="0" w:after="0"/>
              <w:rPr>
                <w:b/>
                <w:color w:val="auto"/>
                <w:sz w:val="22"/>
                <w:szCs w:val="22"/>
              </w:rPr>
            </w:pPr>
            <w:r>
              <w:rPr>
                <w:b/>
                <w:color w:val="auto"/>
                <w:sz w:val="22"/>
                <w:szCs w:val="22"/>
              </w:rPr>
              <w:t xml:space="preserve">5. </w:t>
            </w:r>
            <w:r w:rsidRPr="009A46DC">
              <w:rPr>
                <w:b/>
                <w:color w:val="auto"/>
                <w:sz w:val="22"/>
                <w:szCs w:val="22"/>
              </w:rPr>
              <w:t>Myners Investment Principles</w:t>
            </w:r>
          </w:p>
        </w:tc>
        <w:tc>
          <w:tcPr>
            <w:tcW w:w="1297" w:type="dxa"/>
            <w:shd w:val="clear" w:color="auto" w:fill="auto"/>
          </w:tcPr>
          <w:p w14:paraId="4C9E136C" w14:textId="437C18B9" w:rsidR="00C07431" w:rsidRPr="009A46DC" w:rsidRDefault="007B23CF" w:rsidP="009A46DC">
            <w:pPr>
              <w:pStyle w:val="Heading1"/>
              <w:tabs>
                <w:tab w:val="left" w:pos="540"/>
              </w:tabs>
              <w:spacing w:before="0" w:after="0"/>
              <w:jc w:val="right"/>
              <w:rPr>
                <w:b/>
                <w:color w:val="auto"/>
                <w:sz w:val="22"/>
                <w:szCs w:val="22"/>
              </w:rPr>
            </w:pPr>
            <w:r>
              <w:rPr>
                <w:b/>
                <w:color w:val="auto"/>
                <w:sz w:val="22"/>
                <w:szCs w:val="22"/>
              </w:rPr>
              <w:t>1</w:t>
            </w:r>
            <w:r w:rsidR="009E6217">
              <w:rPr>
                <w:b/>
                <w:color w:val="auto"/>
                <w:sz w:val="22"/>
                <w:szCs w:val="22"/>
              </w:rPr>
              <w:t>1</w:t>
            </w:r>
          </w:p>
        </w:tc>
      </w:tr>
    </w:tbl>
    <w:p w14:paraId="4B32F04D" w14:textId="77777777" w:rsidR="009C14E4" w:rsidRDefault="009C14E4" w:rsidP="00CA2880">
      <w:pPr>
        <w:pStyle w:val="Heading1"/>
        <w:tabs>
          <w:tab w:val="left" w:pos="540"/>
        </w:tabs>
        <w:spacing w:before="0" w:after="0" w:line="240" w:lineRule="auto"/>
        <w:rPr>
          <w:color w:val="auto"/>
        </w:rPr>
      </w:pPr>
      <w:r>
        <w:br w:type="page"/>
      </w:r>
      <w:bookmarkStart w:id="0" w:name="_Toc192580098"/>
      <w:r w:rsidRPr="003E06DD">
        <w:rPr>
          <w:color w:val="auto"/>
        </w:rPr>
        <w:lastRenderedPageBreak/>
        <w:t>1. Introduction</w:t>
      </w:r>
      <w:bookmarkEnd w:id="0"/>
    </w:p>
    <w:p w14:paraId="7C399528" w14:textId="77777777" w:rsidR="007E23E9" w:rsidRPr="00CA2880" w:rsidRDefault="007E23E9" w:rsidP="00CA2880">
      <w:pPr>
        <w:rPr>
          <w:sz w:val="36"/>
        </w:rPr>
      </w:pPr>
    </w:p>
    <w:p w14:paraId="481C21E8" w14:textId="77777777" w:rsidR="002A157B" w:rsidRDefault="009C14E4" w:rsidP="007E23E9">
      <w:pPr>
        <w:pStyle w:val="BodyText"/>
        <w:spacing w:after="0" w:line="240" w:lineRule="auto"/>
        <w:rPr>
          <w:sz w:val="22"/>
          <w:szCs w:val="22"/>
        </w:rPr>
      </w:pPr>
      <w:r w:rsidRPr="003B10F3">
        <w:rPr>
          <w:sz w:val="22"/>
          <w:szCs w:val="22"/>
        </w:rPr>
        <w:t xml:space="preserve">Under the Pensions Act 1995, trustees are required to prepare and review regularly a </w:t>
      </w:r>
      <w:r w:rsidRPr="003B10F3">
        <w:rPr>
          <w:iCs/>
          <w:sz w:val="22"/>
          <w:szCs w:val="22"/>
        </w:rPr>
        <w:t>Statement of Investment Principles</w:t>
      </w:r>
      <w:r w:rsidR="00571306">
        <w:rPr>
          <w:iCs/>
          <w:sz w:val="22"/>
          <w:szCs w:val="22"/>
        </w:rPr>
        <w:t xml:space="preserve"> (“SIP”)</w:t>
      </w:r>
      <w:r w:rsidRPr="003B10F3">
        <w:rPr>
          <w:sz w:val="22"/>
          <w:szCs w:val="22"/>
        </w:rPr>
        <w:t xml:space="preserve">, dealing with certain specific matters.  </w:t>
      </w:r>
    </w:p>
    <w:p w14:paraId="7A4D9D37" w14:textId="77777777" w:rsidR="003B10F3" w:rsidRPr="003B10F3" w:rsidRDefault="003B10F3" w:rsidP="00CA2880">
      <w:pPr>
        <w:pStyle w:val="BodyText"/>
        <w:spacing w:after="0" w:line="240" w:lineRule="auto"/>
        <w:rPr>
          <w:sz w:val="22"/>
          <w:szCs w:val="22"/>
        </w:rPr>
      </w:pPr>
    </w:p>
    <w:p w14:paraId="0E954251" w14:textId="2B37AA29" w:rsidR="009C14E4" w:rsidRDefault="009C14E4" w:rsidP="00CA2880">
      <w:pPr>
        <w:pStyle w:val="BodyText"/>
        <w:spacing w:after="0" w:line="240" w:lineRule="auto"/>
        <w:rPr>
          <w:sz w:val="22"/>
          <w:szCs w:val="22"/>
        </w:rPr>
      </w:pPr>
      <w:r w:rsidRPr="003B10F3">
        <w:rPr>
          <w:sz w:val="22"/>
          <w:szCs w:val="22"/>
        </w:rPr>
        <w:t xml:space="preserve">This </w:t>
      </w:r>
      <w:r w:rsidR="00571306">
        <w:rPr>
          <w:sz w:val="22"/>
          <w:szCs w:val="22"/>
        </w:rPr>
        <w:t xml:space="preserve">SIP </w:t>
      </w:r>
      <w:r w:rsidRPr="003B10F3">
        <w:rPr>
          <w:sz w:val="22"/>
          <w:szCs w:val="22"/>
        </w:rPr>
        <w:t xml:space="preserve">sets out the principles governing decisions about the investment of the assets of the </w:t>
      </w:r>
      <w:r w:rsidR="00571306" w:rsidRPr="00571306">
        <w:rPr>
          <w:sz w:val="22"/>
          <w:szCs w:val="22"/>
        </w:rPr>
        <w:t xml:space="preserve">Pertwee Estates Limited Retirement Benefits Scheme </w:t>
      </w:r>
      <w:r w:rsidR="00571306">
        <w:rPr>
          <w:sz w:val="22"/>
          <w:szCs w:val="22"/>
        </w:rPr>
        <w:t xml:space="preserve">(“the </w:t>
      </w:r>
      <w:r w:rsidRPr="003B10F3">
        <w:rPr>
          <w:sz w:val="22"/>
          <w:szCs w:val="22"/>
        </w:rPr>
        <w:t>Scheme</w:t>
      </w:r>
      <w:r w:rsidR="00571306">
        <w:rPr>
          <w:sz w:val="22"/>
          <w:szCs w:val="22"/>
        </w:rPr>
        <w:t>”)</w:t>
      </w:r>
      <w:r w:rsidRPr="003B10F3">
        <w:rPr>
          <w:sz w:val="22"/>
          <w:szCs w:val="22"/>
        </w:rPr>
        <w:t xml:space="preserve">. Before preparing it, the Trustees have obtained and considered written professional advice from </w:t>
      </w:r>
      <w:r w:rsidR="00545206">
        <w:rPr>
          <w:sz w:val="22"/>
          <w:szCs w:val="22"/>
        </w:rPr>
        <w:t xml:space="preserve">The Duley Practice, part of St. James Place Wealth Management, </w:t>
      </w:r>
      <w:r w:rsidRPr="003B10F3">
        <w:rPr>
          <w:sz w:val="22"/>
          <w:szCs w:val="22"/>
        </w:rPr>
        <w:t xml:space="preserve">as their </w:t>
      </w:r>
      <w:r w:rsidR="0021463E">
        <w:rPr>
          <w:sz w:val="22"/>
          <w:szCs w:val="22"/>
        </w:rPr>
        <w:t>I</w:t>
      </w:r>
      <w:r w:rsidRPr="003B10F3">
        <w:rPr>
          <w:sz w:val="22"/>
          <w:szCs w:val="22"/>
        </w:rPr>
        <w:t xml:space="preserve">nvestment </w:t>
      </w:r>
      <w:r w:rsidR="0021463E">
        <w:rPr>
          <w:sz w:val="22"/>
          <w:szCs w:val="22"/>
        </w:rPr>
        <w:t>A</w:t>
      </w:r>
      <w:r w:rsidR="00571306">
        <w:rPr>
          <w:sz w:val="22"/>
          <w:szCs w:val="22"/>
        </w:rPr>
        <w:t>dviser</w:t>
      </w:r>
      <w:r w:rsidRPr="003B10F3">
        <w:rPr>
          <w:sz w:val="22"/>
          <w:szCs w:val="22"/>
        </w:rPr>
        <w:t>.</w:t>
      </w:r>
      <w:r w:rsidR="00571306">
        <w:rPr>
          <w:sz w:val="22"/>
          <w:szCs w:val="22"/>
        </w:rPr>
        <w:t xml:space="preserve"> The Scheme Actuary is </w:t>
      </w:r>
      <w:r w:rsidR="001821B2">
        <w:rPr>
          <w:sz w:val="22"/>
          <w:szCs w:val="22"/>
        </w:rPr>
        <w:t xml:space="preserve">Nick </w:t>
      </w:r>
      <w:r w:rsidR="00571306">
        <w:rPr>
          <w:sz w:val="22"/>
          <w:szCs w:val="22"/>
        </w:rPr>
        <w:t>Atkin of Atkin and Co who has also reviewed the SIP.</w:t>
      </w:r>
      <w:r w:rsidRPr="003B10F3">
        <w:rPr>
          <w:sz w:val="22"/>
          <w:szCs w:val="22"/>
        </w:rPr>
        <w:t xml:space="preserve"> Prior </w:t>
      </w:r>
      <w:r w:rsidR="00571306">
        <w:rPr>
          <w:sz w:val="22"/>
          <w:szCs w:val="22"/>
        </w:rPr>
        <w:t>to finalising the document, the Trustees</w:t>
      </w:r>
      <w:r w:rsidRPr="003B10F3">
        <w:rPr>
          <w:sz w:val="22"/>
          <w:szCs w:val="22"/>
        </w:rPr>
        <w:t xml:space="preserve"> have consulted with the </w:t>
      </w:r>
      <w:r w:rsidR="00EE7D2B" w:rsidRPr="003B10F3">
        <w:rPr>
          <w:sz w:val="22"/>
          <w:szCs w:val="22"/>
        </w:rPr>
        <w:t xml:space="preserve">Scheme’s </w:t>
      </w:r>
      <w:r w:rsidR="007B39C5" w:rsidRPr="003B10F3">
        <w:rPr>
          <w:sz w:val="22"/>
          <w:szCs w:val="22"/>
        </w:rPr>
        <w:t xml:space="preserve">sponsoring </w:t>
      </w:r>
      <w:r w:rsidRPr="003B10F3">
        <w:rPr>
          <w:sz w:val="22"/>
          <w:szCs w:val="22"/>
        </w:rPr>
        <w:t>employer</w:t>
      </w:r>
      <w:r w:rsidR="00EE7D2B" w:rsidRPr="003B10F3">
        <w:rPr>
          <w:sz w:val="22"/>
          <w:szCs w:val="22"/>
        </w:rPr>
        <w:t xml:space="preserve">, </w:t>
      </w:r>
      <w:r w:rsidR="00EE7D2B">
        <w:rPr>
          <w:sz w:val="22"/>
          <w:szCs w:val="22"/>
        </w:rPr>
        <w:t>Pertwee Estates Limited</w:t>
      </w:r>
      <w:r w:rsidR="00E32E8D">
        <w:rPr>
          <w:sz w:val="22"/>
          <w:szCs w:val="22"/>
        </w:rPr>
        <w:t>.</w:t>
      </w:r>
    </w:p>
    <w:p w14:paraId="0F1DD04E" w14:textId="77777777" w:rsidR="003B10F3" w:rsidRPr="003B10F3" w:rsidRDefault="003B10F3" w:rsidP="00CA2880">
      <w:pPr>
        <w:pStyle w:val="BodyText"/>
        <w:spacing w:after="0" w:line="240" w:lineRule="auto"/>
        <w:rPr>
          <w:sz w:val="22"/>
          <w:szCs w:val="22"/>
        </w:rPr>
      </w:pPr>
    </w:p>
    <w:p w14:paraId="05CD00A1" w14:textId="77777777" w:rsidR="009C14E4" w:rsidRDefault="009C14E4" w:rsidP="00CA2880">
      <w:pPr>
        <w:pStyle w:val="BodyText"/>
        <w:spacing w:after="0" w:line="240" w:lineRule="auto"/>
        <w:rPr>
          <w:sz w:val="22"/>
          <w:szCs w:val="22"/>
        </w:rPr>
      </w:pPr>
      <w:r w:rsidRPr="003B10F3">
        <w:rPr>
          <w:sz w:val="22"/>
          <w:szCs w:val="22"/>
        </w:rPr>
        <w:t xml:space="preserve">The Trustees </w:t>
      </w:r>
      <w:r w:rsidR="00EE7D2B">
        <w:rPr>
          <w:sz w:val="22"/>
          <w:szCs w:val="22"/>
        </w:rPr>
        <w:t xml:space="preserve">will </w:t>
      </w:r>
      <w:r w:rsidRPr="003B10F3">
        <w:rPr>
          <w:sz w:val="22"/>
          <w:szCs w:val="22"/>
        </w:rPr>
        <w:t>review this Statement on a</w:t>
      </w:r>
      <w:r w:rsidR="00C45D38" w:rsidRPr="003B10F3">
        <w:rPr>
          <w:sz w:val="22"/>
          <w:szCs w:val="22"/>
        </w:rPr>
        <w:t xml:space="preserve"> regular</w:t>
      </w:r>
      <w:r w:rsidRPr="003B10F3">
        <w:rPr>
          <w:sz w:val="22"/>
          <w:szCs w:val="22"/>
        </w:rPr>
        <w:t xml:space="preserve"> basis, and will also do so in response to any material changes to the investment arrangements</w:t>
      </w:r>
      <w:r w:rsidR="00C45D38" w:rsidRPr="003B10F3">
        <w:rPr>
          <w:sz w:val="22"/>
          <w:szCs w:val="22"/>
        </w:rPr>
        <w:t xml:space="preserve"> of the Scheme</w:t>
      </w:r>
      <w:r w:rsidRPr="003B10F3">
        <w:rPr>
          <w:sz w:val="22"/>
          <w:szCs w:val="22"/>
        </w:rPr>
        <w:t xml:space="preserve">. </w:t>
      </w:r>
      <w:r w:rsidR="00C45D38" w:rsidRPr="003B10F3">
        <w:rPr>
          <w:sz w:val="22"/>
          <w:szCs w:val="22"/>
        </w:rPr>
        <w:t>F</w:t>
      </w:r>
      <w:r w:rsidRPr="003B10F3">
        <w:rPr>
          <w:sz w:val="22"/>
          <w:szCs w:val="22"/>
        </w:rPr>
        <w:t>ormal reviews will be undertaken no less frequently than every 3 years to coincide with the Actuarial Valuation</w:t>
      </w:r>
      <w:r w:rsidR="00C45D38" w:rsidRPr="003B10F3">
        <w:rPr>
          <w:sz w:val="22"/>
          <w:szCs w:val="22"/>
        </w:rPr>
        <w:t>s</w:t>
      </w:r>
      <w:r w:rsidRPr="003B10F3">
        <w:rPr>
          <w:sz w:val="22"/>
          <w:szCs w:val="22"/>
        </w:rPr>
        <w:t>.  Any such review will be based on written expert investment advice and will be in consultation with the sponsoring employer</w:t>
      </w:r>
      <w:r w:rsidR="003F1627" w:rsidRPr="003B10F3">
        <w:rPr>
          <w:sz w:val="22"/>
          <w:szCs w:val="22"/>
        </w:rPr>
        <w:t>.</w:t>
      </w:r>
    </w:p>
    <w:p w14:paraId="249DCE1F" w14:textId="77777777" w:rsidR="00571306" w:rsidRDefault="00571306" w:rsidP="00CA2880">
      <w:pPr>
        <w:pStyle w:val="BodyText"/>
        <w:spacing w:after="0" w:line="240" w:lineRule="auto"/>
        <w:rPr>
          <w:sz w:val="22"/>
          <w:szCs w:val="22"/>
        </w:rPr>
      </w:pPr>
    </w:p>
    <w:p w14:paraId="54F9467D" w14:textId="77777777" w:rsidR="00571306" w:rsidRDefault="00571306" w:rsidP="00CA2880">
      <w:pPr>
        <w:pStyle w:val="BodyText"/>
        <w:spacing w:after="0" w:line="240" w:lineRule="auto"/>
        <w:rPr>
          <w:sz w:val="22"/>
          <w:szCs w:val="22"/>
        </w:rPr>
      </w:pPr>
      <w:r>
        <w:rPr>
          <w:sz w:val="22"/>
          <w:szCs w:val="22"/>
        </w:rPr>
        <w:t xml:space="preserve">The Trustees confirm that this SIP reflects the investment strategy they have implemented for the Scheme and acknowledge that it is their </w:t>
      </w:r>
      <w:r w:rsidR="00EE7D2B">
        <w:rPr>
          <w:sz w:val="22"/>
          <w:szCs w:val="22"/>
        </w:rPr>
        <w:t>responsibility, with guidance from their Advisers, to ensure that the assets of the Scheme are invested in accordance with these principles.</w:t>
      </w:r>
    </w:p>
    <w:p w14:paraId="7A121155" w14:textId="77777777" w:rsidR="00EE7D2B" w:rsidRDefault="00EE7D2B" w:rsidP="00CA2880">
      <w:pPr>
        <w:pStyle w:val="BodyText"/>
        <w:spacing w:after="0" w:line="240" w:lineRule="auto"/>
        <w:rPr>
          <w:sz w:val="22"/>
          <w:szCs w:val="22"/>
        </w:rPr>
      </w:pPr>
    </w:p>
    <w:p w14:paraId="222FE79C" w14:textId="5DB6D78F" w:rsidR="00EE7D2B" w:rsidRPr="003B10F3" w:rsidRDefault="00EE7D2B" w:rsidP="00CA2880">
      <w:pPr>
        <w:pStyle w:val="BodyText"/>
        <w:spacing w:after="0" w:line="240" w:lineRule="auto"/>
        <w:rPr>
          <w:sz w:val="22"/>
          <w:szCs w:val="22"/>
        </w:rPr>
      </w:pPr>
      <w:r>
        <w:rPr>
          <w:sz w:val="22"/>
          <w:szCs w:val="22"/>
        </w:rPr>
        <w:t xml:space="preserve">This SIP comes into force on the date below and replaces the Scheme’s previous SIP dated </w:t>
      </w:r>
      <w:r w:rsidR="00014317">
        <w:rPr>
          <w:sz w:val="22"/>
          <w:szCs w:val="22"/>
        </w:rPr>
        <w:t xml:space="preserve">May </w:t>
      </w:r>
      <w:r w:rsidR="006E6DFE">
        <w:rPr>
          <w:sz w:val="22"/>
          <w:szCs w:val="22"/>
        </w:rPr>
        <w:t>202</w:t>
      </w:r>
      <w:r w:rsidR="00014317">
        <w:rPr>
          <w:sz w:val="22"/>
          <w:szCs w:val="22"/>
        </w:rPr>
        <w:t>2</w:t>
      </w:r>
      <w:r>
        <w:rPr>
          <w:sz w:val="22"/>
          <w:szCs w:val="22"/>
        </w:rPr>
        <w:t>.</w:t>
      </w:r>
    </w:p>
    <w:p w14:paraId="22D51DB8" w14:textId="77777777" w:rsidR="009C14E4" w:rsidRPr="003B10F3" w:rsidRDefault="009C14E4" w:rsidP="00CA2880">
      <w:pPr>
        <w:spacing w:line="240" w:lineRule="auto"/>
        <w:rPr>
          <w:sz w:val="22"/>
          <w:szCs w:val="22"/>
        </w:rPr>
      </w:pPr>
    </w:p>
    <w:p w14:paraId="64E1F1B6" w14:textId="77777777" w:rsidR="000D16C7" w:rsidRDefault="000D16C7" w:rsidP="00CA2880">
      <w:pPr>
        <w:spacing w:line="240" w:lineRule="auto"/>
        <w:rPr>
          <w:b/>
          <w:bCs/>
          <w:sz w:val="22"/>
          <w:szCs w:val="22"/>
        </w:rPr>
      </w:pPr>
    </w:p>
    <w:p w14:paraId="4B02B31A" w14:textId="77777777" w:rsidR="000D16C7" w:rsidRDefault="000D16C7" w:rsidP="00CA2880">
      <w:pPr>
        <w:spacing w:line="240" w:lineRule="auto"/>
        <w:rPr>
          <w:b/>
          <w:bCs/>
          <w:sz w:val="22"/>
          <w:szCs w:val="22"/>
        </w:rPr>
      </w:pPr>
    </w:p>
    <w:p w14:paraId="419DBA12" w14:textId="77777777" w:rsidR="000D16C7" w:rsidRDefault="000D16C7" w:rsidP="00CA2880">
      <w:pPr>
        <w:spacing w:line="240" w:lineRule="auto"/>
        <w:rPr>
          <w:b/>
          <w:bCs/>
          <w:sz w:val="22"/>
          <w:szCs w:val="22"/>
        </w:rPr>
      </w:pPr>
    </w:p>
    <w:p w14:paraId="5AF82545" w14:textId="77777777" w:rsidR="009C14E4" w:rsidRPr="003B10F3" w:rsidRDefault="009C14E4" w:rsidP="00CA2880">
      <w:pPr>
        <w:spacing w:line="240" w:lineRule="auto"/>
        <w:rPr>
          <w:b/>
          <w:bCs/>
          <w:sz w:val="22"/>
          <w:szCs w:val="22"/>
        </w:rPr>
      </w:pPr>
      <w:r w:rsidRPr="003B10F3">
        <w:rPr>
          <w:b/>
          <w:bCs/>
          <w:sz w:val="22"/>
          <w:szCs w:val="22"/>
        </w:rPr>
        <w:t xml:space="preserve">Signed for and on behalf of The Trustees of the </w:t>
      </w:r>
      <w:r w:rsidR="00545206">
        <w:rPr>
          <w:b/>
          <w:bCs/>
          <w:sz w:val="22"/>
          <w:szCs w:val="22"/>
        </w:rPr>
        <w:t>Pertwee Estates Limited Retirement Benefits Scheme</w:t>
      </w:r>
      <w:r w:rsidRPr="003B10F3">
        <w:rPr>
          <w:b/>
          <w:bCs/>
          <w:sz w:val="22"/>
          <w:szCs w:val="22"/>
        </w:rPr>
        <w:t xml:space="preserve"> </w:t>
      </w:r>
    </w:p>
    <w:p w14:paraId="7CBAB502" w14:textId="77777777" w:rsidR="009C14E4" w:rsidRDefault="009C14E4" w:rsidP="00CA2880">
      <w:pPr>
        <w:spacing w:line="240" w:lineRule="auto"/>
      </w:pPr>
    </w:p>
    <w:p w14:paraId="21BF11FA" w14:textId="77777777" w:rsidR="009C14E4" w:rsidRDefault="009C14E4" w:rsidP="00CA2880">
      <w:pPr>
        <w:spacing w:line="240" w:lineRule="auto"/>
      </w:pPr>
    </w:p>
    <w:p w14:paraId="3A216E3A" w14:textId="77777777" w:rsidR="000B1E11" w:rsidRDefault="000B1E11" w:rsidP="00CA2880">
      <w:pPr>
        <w:spacing w:line="240" w:lineRule="auto"/>
      </w:pPr>
    </w:p>
    <w:p w14:paraId="2F8E68B5" w14:textId="37676775" w:rsidR="009C14E4" w:rsidRPr="00355011" w:rsidRDefault="009C14E4" w:rsidP="00CA2880">
      <w:pPr>
        <w:spacing w:line="240" w:lineRule="auto"/>
        <w:rPr>
          <w:sz w:val="22"/>
        </w:rPr>
      </w:pPr>
      <w:r w:rsidRPr="00355011">
        <w:rPr>
          <w:sz w:val="22"/>
        </w:rPr>
        <w:t>Signed:</w:t>
      </w:r>
      <w:r w:rsidR="00403E09">
        <w:rPr>
          <w:sz w:val="22"/>
        </w:rPr>
        <w:tab/>
      </w:r>
      <w:r w:rsidR="00726E40">
        <w:rPr>
          <w:sz w:val="22"/>
        </w:rPr>
        <w:t>R A Holmes</w:t>
      </w:r>
      <w:r w:rsidR="00403E09">
        <w:rPr>
          <w:sz w:val="22"/>
        </w:rPr>
        <w:tab/>
      </w:r>
      <w:r w:rsidR="00403E09">
        <w:rPr>
          <w:sz w:val="22"/>
        </w:rPr>
        <w:tab/>
      </w:r>
      <w:r w:rsidR="00403E09">
        <w:rPr>
          <w:sz w:val="22"/>
        </w:rPr>
        <w:tab/>
      </w:r>
      <w:r w:rsidRPr="00355011">
        <w:rPr>
          <w:sz w:val="22"/>
        </w:rPr>
        <w:t xml:space="preserve">    </w:t>
      </w:r>
      <w:r w:rsidR="00355011">
        <w:rPr>
          <w:sz w:val="22"/>
        </w:rPr>
        <w:t xml:space="preserve"> Date:</w:t>
      </w:r>
      <w:r w:rsidR="00403E09">
        <w:rPr>
          <w:sz w:val="22"/>
        </w:rPr>
        <w:t xml:space="preserve"> </w:t>
      </w:r>
      <w:r w:rsidR="00403E09">
        <w:rPr>
          <w:sz w:val="22"/>
        </w:rPr>
        <w:tab/>
      </w:r>
      <w:r w:rsidR="00A104A3">
        <w:rPr>
          <w:sz w:val="22"/>
        </w:rPr>
        <w:t xml:space="preserve">   </w:t>
      </w:r>
      <w:r w:rsidR="00761D80">
        <w:rPr>
          <w:sz w:val="22"/>
        </w:rPr>
        <w:t>26 January 2024</w:t>
      </w:r>
    </w:p>
    <w:p w14:paraId="0553C618" w14:textId="77777777" w:rsidR="009C14E4" w:rsidRDefault="009C14E4" w:rsidP="00CA2880">
      <w:pPr>
        <w:spacing w:line="240" w:lineRule="auto"/>
      </w:pPr>
    </w:p>
    <w:p w14:paraId="79E32E21" w14:textId="77777777" w:rsidR="000D16C7" w:rsidRDefault="000D16C7" w:rsidP="00CA2880">
      <w:pPr>
        <w:spacing w:line="240" w:lineRule="auto"/>
      </w:pPr>
    </w:p>
    <w:p w14:paraId="1B6D96A9" w14:textId="77777777" w:rsidR="000D16C7" w:rsidRDefault="000D16C7" w:rsidP="00CA2880">
      <w:pPr>
        <w:spacing w:line="240" w:lineRule="auto"/>
      </w:pPr>
    </w:p>
    <w:p w14:paraId="56398FCF" w14:textId="7AD3927A" w:rsidR="000D16C7" w:rsidRPr="00355011" w:rsidRDefault="000D16C7" w:rsidP="000D16C7">
      <w:pPr>
        <w:spacing w:line="240" w:lineRule="auto"/>
        <w:rPr>
          <w:sz w:val="22"/>
        </w:rPr>
      </w:pPr>
      <w:r w:rsidRPr="00355011">
        <w:rPr>
          <w:sz w:val="22"/>
        </w:rPr>
        <w:t>Signed:</w:t>
      </w:r>
      <w:r w:rsidR="00403E09">
        <w:rPr>
          <w:sz w:val="22"/>
        </w:rPr>
        <w:tab/>
      </w:r>
      <w:r w:rsidR="00726E40">
        <w:rPr>
          <w:sz w:val="22"/>
        </w:rPr>
        <w:t>M F Pertwee</w:t>
      </w:r>
      <w:r w:rsidR="00622A18">
        <w:rPr>
          <w:sz w:val="22"/>
        </w:rPr>
        <w:tab/>
      </w:r>
      <w:r w:rsidR="00403E09">
        <w:rPr>
          <w:sz w:val="22"/>
        </w:rPr>
        <w:tab/>
      </w:r>
      <w:r w:rsidR="00403E09">
        <w:rPr>
          <w:sz w:val="22"/>
        </w:rPr>
        <w:tab/>
      </w:r>
      <w:r w:rsidRPr="00355011">
        <w:rPr>
          <w:sz w:val="22"/>
        </w:rPr>
        <w:t xml:space="preserve">    </w:t>
      </w:r>
      <w:r>
        <w:rPr>
          <w:sz w:val="22"/>
        </w:rPr>
        <w:t xml:space="preserve"> Date</w:t>
      </w:r>
      <w:r w:rsidR="00403E09">
        <w:rPr>
          <w:sz w:val="22"/>
        </w:rPr>
        <w:t xml:space="preserve">: </w:t>
      </w:r>
      <w:r w:rsidR="00403E09">
        <w:rPr>
          <w:sz w:val="22"/>
        </w:rPr>
        <w:tab/>
      </w:r>
      <w:r w:rsidR="00C93F61">
        <w:rPr>
          <w:sz w:val="22"/>
        </w:rPr>
        <w:t xml:space="preserve">   </w:t>
      </w:r>
      <w:r w:rsidR="00761D80">
        <w:rPr>
          <w:sz w:val="22"/>
        </w:rPr>
        <w:t>26 January 2024</w:t>
      </w:r>
    </w:p>
    <w:p w14:paraId="794EDDCC" w14:textId="77777777" w:rsidR="000D16C7" w:rsidRDefault="000D16C7" w:rsidP="000D16C7">
      <w:pPr>
        <w:spacing w:line="240" w:lineRule="auto"/>
      </w:pPr>
    </w:p>
    <w:p w14:paraId="619FE700" w14:textId="77777777" w:rsidR="000B1E11" w:rsidRDefault="000B1E11"/>
    <w:p w14:paraId="4E6DC9A2" w14:textId="77777777" w:rsidR="009C14E4" w:rsidRDefault="009C14E4"/>
    <w:p w14:paraId="64DD3580" w14:textId="77777777" w:rsidR="009C14E4" w:rsidRDefault="009C14E4" w:rsidP="00CA2880">
      <w:pPr>
        <w:pStyle w:val="Heading1"/>
        <w:spacing w:before="0" w:after="0" w:line="240" w:lineRule="auto"/>
        <w:rPr>
          <w:color w:val="auto"/>
        </w:rPr>
      </w:pPr>
      <w:r>
        <w:br w:type="page"/>
      </w:r>
      <w:bookmarkStart w:id="1" w:name="_Toc192580099"/>
      <w:r w:rsidRPr="003E06DD">
        <w:rPr>
          <w:color w:val="auto"/>
        </w:rPr>
        <w:lastRenderedPageBreak/>
        <w:t xml:space="preserve">2. </w:t>
      </w:r>
      <w:r w:rsidR="00EE7D2B">
        <w:rPr>
          <w:color w:val="auto"/>
        </w:rPr>
        <w:t xml:space="preserve">Scheme Governance and </w:t>
      </w:r>
      <w:r w:rsidRPr="003E06DD">
        <w:rPr>
          <w:color w:val="auto"/>
        </w:rPr>
        <w:t>Decision Making</w:t>
      </w:r>
      <w:bookmarkEnd w:id="1"/>
    </w:p>
    <w:p w14:paraId="155A4DB0" w14:textId="77777777" w:rsidR="007E23E9" w:rsidRPr="00CA2880" w:rsidRDefault="007E23E9" w:rsidP="00CA2880">
      <w:pPr>
        <w:rPr>
          <w:sz w:val="36"/>
        </w:rPr>
      </w:pPr>
    </w:p>
    <w:p w14:paraId="446318C7" w14:textId="77777777" w:rsidR="00EE7D2B" w:rsidRDefault="00EE7D2B" w:rsidP="00CA2880">
      <w:pPr>
        <w:pStyle w:val="BodyText"/>
        <w:spacing w:after="0" w:line="240" w:lineRule="auto"/>
        <w:rPr>
          <w:sz w:val="22"/>
          <w:szCs w:val="22"/>
        </w:rPr>
      </w:pPr>
      <w:r>
        <w:rPr>
          <w:sz w:val="22"/>
          <w:szCs w:val="22"/>
        </w:rPr>
        <w:t>The Trustees are responsible for the governance and investment of the Scheme’s assets within a framework agreed with the sponsoring employer to the exten</w:t>
      </w:r>
      <w:r w:rsidR="000D16C7">
        <w:rPr>
          <w:sz w:val="22"/>
          <w:szCs w:val="22"/>
        </w:rPr>
        <w:t>t</w:t>
      </w:r>
      <w:r>
        <w:rPr>
          <w:sz w:val="22"/>
          <w:szCs w:val="22"/>
        </w:rPr>
        <w:t xml:space="preserve"> required by the Scheme’s Trust Deed and Rules. The Trustees consider that the governance structure set out in this SIP is appropriate for the Scheme as it allows the Trustees to make the important decisions on investment policy, while delegating day-to-day aspects to the </w:t>
      </w:r>
      <w:r w:rsidR="00E67823">
        <w:rPr>
          <w:sz w:val="22"/>
          <w:szCs w:val="22"/>
        </w:rPr>
        <w:t>I</w:t>
      </w:r>
      <w:r>
        <w:rPr>
          <w:sz w:val="22"/>
          <w:szCs w:val="22"/>
        </w:rPr>
        <w:t xml:space="preserve">nvestment </w:t>
      </w:r>
      <w:r w:rsidR="00E67823">
        <w:rPr>
          <w:sz w:val="22"/>
          <w:szCs w:val="22"/>
        </w:rPr>
        <w:t>M</w:t>
      </w:r>
      <w:r>
        <w:rPr>
          <w:sz w:val="22"/>
          <w:szCs w:val="22"/>
        </w:rPr>
        <w:t xml:space="preserve">anagers or </w:t>
      </w:r>
      <w:r w:rsidR="00E67823">
        <w:rPr>
          <w:sz w:val="22"/>
          <w:szCs w:val="22"/>
        </w:rPr>
        <w:t>I</w:t>
      </w:r>
      <w:r>
        <w:rPr>
          <w:sz w:val="22"/>
          <w:szCs w:val="22"/>
        </w:rPr>
        <w:t xml:space="preserve">nvestment </w:t>
      </w:r>
      <w:r w:rsidR="00E67823">
        <w:rPr>
          <w:sz w:val="22"/>
          <w:szCs w:val="22"/>
        </w:rPr>
        <w:t>A</w:t>
      </w:r>
      <w:r>
        <w:rPr>
          <w:sz w:val="22"/>
          <w:szCs w:val="22"/>
        </w:rPr>
        <w:t>dviser as appropriate.</w:t>
      </w:r>
    </w:p>
    <w:p w14:paraId="28BA5AD8" w14:textId="77777777" w:rsidR="00EE7D2B" w:rsidRDefault="00EE7D2B" w:rsidP="00CA2880">
      <w:pPr>
        <w:pStyle w:val="BodyText"/>
        <w:spacing w:after="0" w:line="240" w:lineRule="auto"/>
        <w:rPr>
          <w:sz w:val="22"/>
          <w:szCs w:val="22"/>
        </w:rPr>
      </w:pPr>
    </w:p>
    <w:p w14:paraId="103BCE10" w14:textId="77777777" w:rsidR="009C14E4" w:rsidRDefault="009C14E4" w:rsidP="00CA2880">
      <w:pPr>
        <w:pStyle w:val="BodyText"/>
        <w:spacing w:after="0" w:line="240" w:lineRule="auto"/>
        <w:rPr>
          <w:sz w:val="22"/>
          <w:szCs w:val="22"/>
        </w:rPr>
      </w:pPr>
      <w:r w:rsidRPr="003B10F3">
        <w:rPr>
          <w:sz w:val="22"/>
          <w:szCs w:val="22"/>
        </w:rPr>
        <w:t>The Trustees distinguish between two types of investment decision:</w:t>
      </w:r>
    </w:p>
    <w:p w14:paraId="615CFB20" w14:textId="77777777" w:rsidR="003B10F3" w:rsidRPr="003B10F3" w:rsidRDefault="003B10F3" w:rsidP="00CA2880">
      <w:pPr>
        <w:pStyle w:val="BodyText"/>
        <w:spacing w:after="0" w:line="240" w:lineRule="auto"/>
        <w:rPr>
          <w:sz w:val="22"/>
          <w:szCs w:val="22"/>
        </w:rPr>
      </w:pPr>
    </w:p>
    <w:p w14:paraId="471AE71F" w14:textId="77777777" w:rsidR="009C14E4" w:rsidRDefault="009C14E4" w:rsidP="002C66C8">
      <w:pPr>
        <w:pStyle w:val="Heading3"/>
      </w:pPr>
      <w:r w:rsidRPr="003B10F3">
        <w:t>Strategic investment decisions</w:t>
      </w:r>
    </w:p>
    <w:p w14:paraId="6E216AB3" w14:textId="77777777" w:rsidR="003B10F3" w:rsidRPr="003B10F3" w:rsidRDefault="003B10F3" w:rsidP="00CA2880">
      <w:pPr>
        <w:spacing w:line="240" w:lineRule="auto"/>
      </w:pPr>
    </w:p>
    <w:p w14:paraId="13073816" w14:textId="77777777" w:rsidR="009C14E4" w:rsidRDefault="009C14E4" w:rsidP="007E23E9">
      <w:pPr>
        <w:pStyle w:val="BodyText"/>
        <w:spacing w:after="0" w:line="240" w:lineRule="auto"/>
        <w:rPr>
          <w:sz w:val="22"/>
          <w:szCs w:val="22"/>
        </w:rPr>
      </w:pPr>
      <w:r w:rsidRPr="003B10F3">
        <w:rPr>
          <w:sz w:val="22"/>
          <w:szCs w:val="22"/>
        </w:rPr>
        <w:t>These decisions are long-term in nature, and driven by an understanding of the objectives, needs and liabilities of the Scheme.</w:t>
      </w:r>
    </w:p>
    <w:p w14:paraId="16FF5C91" w14:textId="77777777" w:rsidR="003B10F3" w:rsidRPr="003B10F3" w:rsidRDefault="003B10F3" w:rsidP="00CA2880">
      <w:pPr>
        <w:pStyle w:val="BodyText"/>
        <w:spacing w:after="0" w:line="240" w:lineRule="auto"/>
        <w:rPr>
          <w:sz w:val="22"/>
          <w:szCs w:val="22"/>
        </w:rPr>
      </w:pPr>
    </w:p>
    <w:p w14:paraId="5D8EDF78" w14:textId="77777777" w:rsidR="006D00F0" w:rsidRPr="003B10F3" w:rsidRDefault="009C14E4" w:rsidP="00CA2880">
      <w:pPr>
        <w:pStyle w:val="BodyText"/>
        <w:spacing w:after="0" w:line="240" w:lineRule="auto"/>
        <w:rPr>
          <w:sz w:val="22"/>
          <w:szCs w:val="22"/>
        </w:rPr>
      </w:pPr>
      <w:r w:rsidRPr="003B10F3">
        <w:rPr>
          <w:sz w:val="22"/>
          <w:szCs w:val="22"/>
        </w:rPr>
        <w:t xml:space="preserve">The Trustees take all such decisions themselves.  Where appropriate this is after receiving written advice from their </w:t>
      </w:r>
      <w:r w:rsidR="00E67823">
        <w:rPr>
          <w:sz w:val="22"/>
          <w:szCs w:val="22"/>
        </w:rPr>
        <w:t>I</w:t>
      </w:r>
      <w:r w:rsidRPr="003B10F3">
        <w:rPr>
          <w:sz w:val="22"/>
          <w:szCs w:val="22"/>
        </w:rPr>
        <w:t xml:space="preserve">nvestment </w:t>
      </w:r>
      <w:r w:rsidR="00E67823">
        <w:rPr>
          <w:sz w:val="22"/>
          <w:szCs w:val="22"/>
        </w:rPr>
        <w:t>A</w:t>
      </w:r>
      <w:r w:rsidR="000D16C7">
        <w:rPr>
          <w:sz w:val="22"/>
          <w:szCs w:val="22"/>
        </w:rPr>
        <w:t>dviser</w:t>
      </w:r>
      <w:r w:rsidRPr="003B10F3">
        <w:rPr>
          <w:sz w:val="22"/>
          <w:szCs w:val="22"/>
        </w:rPr>
        <w:t>, and consulting</w:t>
      </w:r>
      <w:r w:rsidR="007B39C5" w:rsidRPr="003B10F3">
        <w:rPr>
          <w:sz w:val="22"/>
          <w:szCs w:val="22"/>
        </w:rPr>
        <w:t>, as appropriate,</w:t>
      </w:r>
      <w:r w:rsidRPr="003B10F3">
        <w:rPr>
          <w:sz w:val="22"/>
          <w:szCs w:val="22"/>
        </w:rPr>
        <w:t xml:space="preserve"> with the </w:t>
      </w:r>
      <w:r w:rsidR="000D16C7">
        <w:rPr>
          <w:sz w:val="22"/>
          <w:szCs w:val="22"/>
        </w:rPr>
        <w:t xml:space="preserve">Scheme Actuary and/or sponsoring </w:t>
      </w:r>
      <w:r w:rsidRPr="003B10F3">
        <w:rPr>
          <w:sz w:val="22"/>
          <w:szCs w:val="22"/>
        </w:rPr>
        <w:t xml:space="preserve">employer. </w:t>
      </w:r>
    </w:p>
    <w:p w14:paraId="4D1FF2A8" w14:textId="77777777" w:rsidR="006D00F0" w:rsidRPr="003B10F3" w:rsidRDefault="006D00F0" w:rsidP="00CA2880">
      <w:pPr>
        <w:pStyle w:val="BodyText"/>
        <w:spacing w:after="0" w:line="240" w:lineRule="auto"/>
        <w:rPr>
          <w:sz w:val="22"/>
          <w:szCs w:val="22"/>
        </w:rPr>
      </w:pPr>
    </w:p>
    <w:p w14:paraId="5DACFEBB" w14:textId="77777777" w:rsidR="009C14E4" w:rsidRPr="003B10F3" w:rsidRDefault="009C14E4" w:rsidP="00CA2880">
      <w:pPr>
        <w:pStyle w:val="BodyText"/>
        <w:spacing w:after="0" w:line="240" w:lineRule="auto"/>
        <w:rPr>
          <w:sz w:val="22"/>
          <w:szCs w:val="22"/>
        </w:rPr>
      </w:pPr>
      <w:r w:rsidRPr="003B10F3">
        <w:rPr>
          <w:sz w:val="22"/>
          <w:szCs w:val="22"/>
        </w:rPr>
        <w:t>Examples of such decisions include:</w:t>
      </w:r>
    </w:p>
    <w:p w14:paraId="50B534C2" w14:textId="77777777" w:rsidR="009C14E4" w:rsidRPr="003B10F3" w:rsidRDefault="009C14E4" w:rsidP="00FF45A9">
      <w:pPr>
        <w:pStyle w:val="ListBullet"/>
        <w:numPr>
          <w:ilvl w:val="0"/>
          <w:numId w:val="18"/>
        </w:numPr>
        <w:rPr>
          <w:sz w:val="22"/>
          <w:szCs w:val="22"/>
        </w:rPr>
      </w:pPr>
      <w:r w:rsidRPr="003B10F3">
        <w:rPr>
          <w:sz w:val="22"/>
          <w:szCs w:val="22"/>
        </w:rPr>
        <w:t>setting investment objectives;</w:t>
      </w:r>
    </w:p>
    <w:p w14:paraId="52B5D4BC" w14:textId="596E50B7" w:rsidR="009C14E4" w:rsidRPr="003B10F3" w:rsidRDefault="009C14E4" w:rsidP="00FF45A9">
      <w:pPr>
        <w:pStyle w:val="ListBullet"/>
        <w:numPr>
          <w:ilvl w:val="0"/>
          <w:numId w:val="18"/>
        </w:numPr>
        <w:rPr>
          <w:sz w:val="22"/>
          <w:szCs w:val="22"/>
        </w:rPr>
      </w:pPr>
      <w:r w:rsidRPr="003B10F3">
        <w:rPr>
          <w:sz w:val="22"/>
          <w:szCs w:val="22"/>
        </w:rPr>
        <w:t xml:space="preserve">setting </w:t>
      </w:r>
      <w:r w:rsidR="0062527A">
        <w:rPr>
          <w:sz w:val="22"/>
          <w:szCs w:val="22"/>
        </w:rPr>
        <w:t xml:space="preserve">the </w:t>
      </w:r>
      <w:r w:rsidRPr="003B10F3">
        <w:rPr>
          <w:sz w:val="22"/>
          <w:szCs w:val="22"/>
        </w:rPr>
        <w:t>strategic asset allocation;</w:t>
      </w:r>
    </w:p>
    <w:p w14:paraId="24AF1D78" w14:textId="27B1AF7C" w:rsidR="009C14E4" w:rsidRPr="003B10F3" w:rsidRDefault="009C14E4" w:rsidP="00FF45A9">
      <w:pPr>
        <w:pStyle w:val="ListBullet"/>
        <w:numPr>
          <w:ilvl w:val="0"/>
          <w:numId w:val="18"/>
        </w:numPr>
        <w:rPr>
          <w:sz w:val="22"/>
          <w:szCs w:val="22"/>
        </w:rPr>
      </w:pPr>
      <w:r w:rsidRPr="003B10F3">
        <w:rPr>
          <w:sz w:val="22"/>
          <w:szCs w:val="22"/>
        </w:rPr>
        <w:t>drafting the Statement of Investment Principles; and</w:t>
      </w:r>
    </w:p>
    <w:p w14:paraId="6D0A5105" w14:textId="05CEFF3E" w:rsidR="009C14E4" w:rsidRPr="003B10F3" w:rsidRDefault="00E67823" w:rsidP="00FF45A9">
      <w:pPr>
        <w:pStyle w:val="ListBullet"/>
        <w:numPr>
          <w:ilvl w:val="0"/>
          <w:numId w:val="18"/>
        </w:numPr>
        <w:rPr>
          <w:sz w:val="22"/>
          <w:szCs w:val="22"/>
        </w:rPr>
      </w:pPr>
      <w:r>
        <w:rPr>
          <w:sz w:val="22"/>
          <w:szCs w:val="22"/>
        </w:rPr>
        <w:t>increasing or decreasing investments in specific funds</w:t>
      </w:r>
      <w:r w:rsidR="009C14E4" w:rsidRPr="003B10F3">
        <w:rPr>
          <w:sz w:val="22"/>
          <w:szCs w:val="22"/>
        </w:rPr>
        <w:t>.</w:t>
      </w:r>
    </w:p>
    <w:p w14:paraId="3FD31125" w14:textId="77777777" w:rsidR="006D00F0" w:rsidRPr="003B10F3" w:rsidRDefault="006D00F0" w:rsidP="00CA2880">
      <w:pPr>
        <w:pStyle w:val="ListBullet"/>
        <w:rPr>
          <w:sz w:val="22"/>
          <w:szCs w:val="22"/>
        </w:rPr>
      </w:pPr>
    </w:p>
    <w:p w14:paraId="1F459AAD" w14:textId="77777777" w:rsidR="009C14E4" w:rsidRDefault="009C14E4" w:rsidP="002C66C8">
      <w:pPr>
        <w:pStyle w:val="Heading3"/>
      </w:pPr>
      <w:r w:rsidRPr="003B10F3">
        <w:t xml:space="preserve">Tactical investment decisions  </w:t>
      </w:r>
    </w:p>
    <w:p w14:paraId="4C4B9758" w14:textId="77777777" w:rsidR="003B10F3" w:rsidRPr="003B10F3" w:rsidRDefault="003B10F3" w:rsidP="00CA2880">
      <w:pPr>
        <w:spacing w:line="240" w:lineRule="auto"/>
      </w:pPr>
    </w:p>
    <w:p w14:paraId="0AF9E32A" w14:textId="77777777" w:rsidR="009C14E4" w:rsidRPr="003B10F3" w:rsidRDefault="009C14E4" w:rsidP="007E23E9">
      <w:pPr>
        <w:pStyle w:val="BodyText"/>
        <w:spacing w:after="0" w:line="240" w:lineRule="auto"/>
        <w:rPr>
          <w:sz w:val="22"/>
          <w:szCs w:val="22"/>
        </w:rPr>
      </w:pPr>
      <w:r w:rsidRPr="003B10F3">
        <w:rPr>
          <w:sz w:val="22"/>
          <w:szCs w:val="22"/>
        </w:rPr>
        <w:t>T</w:t>
      </w:r>
      <w:r w:rsidR="00BE44F5" w:rsidRPr="003B10F3">
        <w:rPr>
          <w:sz w:val="22"/>
          <w:szCs w:val="22"/>
        </w:rPr>
        <w:t>actical investment</w:t>
      </w:r>
      <w:r w:rsidRPr="003B10F3">
        <w:rPr>
          <w:sz w:val="22"/>
          <w:szCs w:val="22"/>
        </w:rPr>
        <w:t xml:space="preserve"> decisions are based on views of future market movements.</w:t>
      </w:r>
    </w:p>
    <w:p w14:paraId="2F8C6DB8" w14:textId="77777777" w:rsidR="009C14E4" w:rsidRDefault="009C14E4" w:rsidP="00CA2880">
      <w:pPr>
        <w:pStyle w:val="BodyText"/>
        <w:spacing w:after="0" w:line="240" w:lineRule="auto"/>
        <w:rPr>
          <w:sz w:val="22"/>
          <w:szCs w:val="22"/>
        </w:rPr>
      </w:pPr>
      <w:r w:rsidRPr="003B10F3">
        <w:rPr>
          <w:sz w:val="22"/>
          <w:szCs w:val="22"/>
        </w:rPr>
        <w:t xml:space="preserve">The Trustees </w:t>
      </w:r>
      <w:r w:rsidR="00BE44F5" w:rsidRPr="003B10F3">
        <w:rPr>
          <w:sz w:val="22"/>
          <w:szCs w:val="22"/>
        </w:rPr>
        <w:t>employ</w:t>
      </w:r>
      <w:r w:rsidRPr="003B10F3">
        <w:rPr>
          <w:sz w:val="22"/>
          <w:szCs w:val="22"/>
        </w:rPr>
        <w:t xml:space="preserve"> </w:t>
      </w:r>
      <w:r w:rsidR="00E67823">
        <w:rPr>
          <w:sz w:val="22"/>
          <w:szCs w:val="22"/>
        </w:rPr>
        <w:t xml:space="preserve">St James’s Place Wealth Management and through them, </w:t>
      </w:r>
      <w:r w:rsidRPr="003B10F3">
        <w:rPr>
          <w:sz w:val="22"/>
          <w:szCs w:val="22"/>
        </w:rPr>
        <w:t>fund managers</w:t>
      </w:r>
      <w:r w:rsidR="00BE44F5" w:rsidRPr="003B10F3">
        <w:rPr>
          <w:sz w:val="22"/>
          <w:szCs w:val="22"/>
        </w:rPr>
        <w:t xml:space="preserve"> to make such judgements</w:t>
      </w:r>
      <w:r w:rsidRPr="003B10F3">
        <w:rPr>
          <w:sz w:val="22"/>
          <w:szCs w:val="22"/>
        </w:rPr>
        <w:t xml:space="preserve">, and do not interfere with their decisions. </w:t>
      </w:r>
      <w:r w:rsidR="00BE44F5" w:rsidRPr="003B10F3">
        <w:rPr>
          <w:sz w:val="22"/>
          <w:szCs w:val="22"/>
        </w:rPr>
        <w:t xml:space="preserve"> </w:t>
      </w:r>
      <w:r w:rsidRPr="003B10F3">
        <w:rPr>
          <w:sz w:val="22"/>
          <w:szCs w:val="22"/>
        </w:rPr>
        <w:t>Examples of such decisions include:</w:t>
      </w:r>
    </w:p>
    <w:p w14:paraId="3959ECCF" w14:textId="77777777" w:rsidR="009C14E4" w:rsidRDefault="009C14E4" w:rsidP="00FF45A9">
      <w:pPr>
        <w:pStyle w:val="ListBullet"/>
        <w:numPr>
          <w:ilvl w:val="0"/>
          <w:numId w:val="19"/>
        </w:numPr>
        <w:rPr>
          <w:sz w:val="22"/>
          <w:szCs w:val="22"/>
        </w:rPr>
      </w:pPr>
      <w:r w:rsidRPr="003B10F3">
        <w:rPr>
          <w:sz w:val="22"/>
          <w:szCs w:val="22"/>
        </w:rPr>
        <w:t>selecting individual stocks;</w:t>
      </w:r>
    </w:p>
    <w:p w14:paraId="49DE872F" w14:textId="77777777" w:rsidR="00E67823" w:rsidRPr="003B10F3" w:rsidRDefault="00E67823" w:rsidP="00FF45A9">
      <w:pPr>
        <w:pStyle w:val="ListBullet"/>
        <w:numPr>
          <w:ilvl w:val="0"/>
          <w:numId w:val="19"/>
        </w:numPr>
        <w:rPr>
          <w:sz w:val="22"/>
          <w:szCs w:val="22"/>
        </w:rPr>
      </w:pPr>
      <w:r>
        <w:rPr>
          <w:sz w:val="22"/>
          <w:szCs w:val="22"/>
        </w:rPr>
        <w:t>appointing or removing specific managers within funds;</w:t>
      </w:r>
    </w:p>
    <w:p w14:paraId="78F4E293" w14:textId="77777777" w:rsidR="009C14E4" w:rsidRPr="003B10F3" w:rsidRDefault="009C14E4" w:rsidP="00FF45A9">
      <w:pPr>
        <w:pStyle w:val="ListBullet"/>
        <w:numPr>
          <w:ilvl w:val="0"/>
          <w:numId w:val="19"/>
        </w:numPr>
        <w:rPr>
          <w:sz w:val="22"/>
          <w:szCs w:val="22"/>
        </w:rPr>
      </w:pPr>
      <w:r w:rsidRPr="003B10F3">
        <w:rPr>
          <w:sz w:val="22"/>
          <w:szCs w:val="22"/>
        </w:rPr>
        <w:t>temporarily deviating from the strategic asset allocation to take advantage of better market opportunities; and</w:t>
      </w:r>
    </w:p>
    <w:p w14:paraId="65A50CB3" w14:textId="77777777" w:rsidR="009C14E4" w:rsidRPr="003B10F3" w:rsidRDefault="009C14E4" w:rsidP="00FF45A9">
      <w:pPr>
        <w:pStyle w:val="ListBullet"/>
        <w:numPr>
          <w:ilvl w:val="0"/>
          <w:numId w:val="19"/>
        </w:numPr>
        <w:rPr>
          <w:sz w:val="22"/>
          <w:szCs w:val="22"/>
        </w:rPr>
      </w:pPr>
      <w:r w:rsidRPr="003B10F3">
        <w:rPr>
          <w:sz w:val="22"/>
          <w:szCs w:val="22"/>
        </w:rPr>
        <w:t>timing of entry or exit from a market.</w:t>
      </w:r>
    </w:p>
    <w:p w14:paraId="07E50D11" w14:textId="77777777" w:rsidR="006D00F0" w:rsidRPr="003B10F3" w:rsidRDefault="006D00F0" w:rsidP="00CA2880">
      <w:pPr>
        <w:pStyle w:val="ListBullet"/>
        <w:ind w:left="360"/>
        <w:rPr>
          <w:sz w:val="22"/>
          <w:szCs w:val="22"/>
        </w:rPr>
      </w:pPr>
    </w:p>
    <w:p w14:paraId="7932F713" w14:textId="77777777" w:rsidR="009C14E4" w:rsidRDefault="007E23E9" w:rsidP="00CA2880">
      <w:pPr>
        <w:pStyle w:val="Heading1"/>
        <w:spacing w:before="0" w:after="0" w:line="240" w:lineRule="auto"/>
        <w:rPr>
          <w:color w:val="auto"/>
        </w:rPr>
      </w:pPr>
      <w:bookmarkStart w:id="2" w:name="_Toc192580100"/>
      <w:r>
        <w:rPr>
          <w:sz w:val="22"/>
          <w:szCs w:val="22"/>
        </w:rPr>
        <w:br w:type="page"/>
      </w:r>
      <w:r w:rsidR="009C14E4" w:rsidRPr="003E06DD">
        <w:rPr>
          <w:color w:val="auto"/>
        </w:rPr>
        <w:lastRenderedPageBreak/>
        <w:t>3. Investment Objectives</w:t>
      </w:r>
      <w:bookmarkEnd w:id="2"/>
      <w:r w:rsidR="00911D2E">
        <w:rPr>
          <w:color w:val="auto"/>
        </w:rPr>
        <w:t xml:space="preserve"> and Strategy</w:t>
      </w:r>
    </w:p>
    <w:p w14:paraId="333D930F" w14:textId="77777777" w:rsidR="007E23E9" w:rsidRPr="00CA2880" w:rsidRDefault="007E23E9" w:rsidP="00CA2880">
      <w:pPr>
        <w:rPr>
          <w:sz w:val="36"/>
        </w:rPr>
      </w:pPr>
    </w:p>
    <w:p w14:paraId="5C3F635D" w14:textId="64B84232" w:rsidR="000D16C7" w:rsidRDefault="000D16C7" w:rsidP="00CA2880">
      <w:pPr>
        <w:spacing w:line="240" w:lineRule="auto"/>
        <w:rPr>
          <w:rFonts w:cs="Arial"/>
          <w:b/>
          <w:sz w:val="22"/>
          <w:szCs w:val="22"/>
        </w:rPr>
      </w:pPr>
      <w:r>
        <w:rPr>
          <w:rFonts w:cs="Arial"/>
          <w:b/>
          <w:sz w:val="22"/>
          <w:szCs w:val="22"/>
        </w:rPr>
        <w:t xml:space="preserve">Objectives for the Defined Benefit (“DB”) </w:t>
      </w:r>
      <w:r w:rsidR="00773640">
        <w:rPr>
          <w:rFonts w:cs="Arial"/>
          <w:b/>
          <w:sz w:val="22"/>
          <w:szCs w:val="22"/>
        </w:rPr>
        <w:t xml:space="preserve">and Defined Contribution (“DC”) </w:t>
      </w:r>
      <w:r>
        <w:rPr>
          <w:rFonts w:cs="Arial"/>
          <w:b/>
          <w:sz w:val="22"/>
          <w:szCs w:val="22"/>
        </w:rPr>
        <w:t>portion</w:t>
      </w:r>
      <w:r w:rsidR="00773640">
        <w:rPr>
          <w:rFonts w:cs="Arial"/>
          <w:b/>
          <w:sz w:val="22"/>
          <w:szCs w:val="22"/>
        </w:rPr>
        <w:t>s</w:t>
      </w:r>
      <w:r>
        <w:rPr>
          <w:rFonts w:cs="Arial"/>
          <w:b/>
          <w:sz w:val="22"/>
          <w:szCs w:val="22"/>
        </w:rPr>
        <w:t xml:space="preserve"> of the Scheme</w:t>
      </w:r>
    </w:p>
    <w:p w14:paraId="06D3DA7A" w14:textId="77777777" w:rsidR="000D16C7" w:rsidRDefault="000D16C7" w:rsidP="00CA2880">
      <w:pPr>
        <w:spacing w:line="240" w:lineRule="auto"/>
        <w:rPr>
          <w:rFonts w:cs="Arial"/>
          <w:sz w:val="22"/>
          <w:szCs w:val="22"/>
        </w:rPr>
      </w:pPr>
    </w:p>
    <w:p w14:paraId="474F8B34" w14:textId="4C44F672" w:rsidR="00773640" w:rsidRDefault="000D16C7" w:rsidP="00773640">
      <w:pPr>
        <w:spacing w:line="240" w:lineRule="auto"/>
        <w:rPr>
          <w:rFonts w:cs="Arial"/>
          <w:sz w:val="22"/>
          <w:szCs w:val="22"/>
        </w:rPr>
      </w:pPr>
      <w:r>
        <w:rPr>
          <w:rFonts w:cs="Arial"/>
          <w:sz w:val="22"/>
          <w:szCs w:val="22"/>
        </w:rPr>
        <w:t xml:space="preserve">The </w:t>
      </w:r>
      <w:r w:rsidR="00007499">
        <w:rPr>
          <w:rFonts w:cs="Arial"/>
          <w:sz w:val="22"/>
          <w:szCs w:val="22"/>
        </w:rPr>
        <w:t xml:space="preserve">overall objective of the DB portion of the Scheme is to meet the benefit payments promised as they fall due. </w:t>
      </w:r>
      <w:r w:rsidR="00773640">
        <w:rPr>
          <w:rFonts w:cs="Arial"/>
          <w:sz w:val="22"/>
          <w:szCs w:val="22"/>
        </w:rPr>
        <w:t>For the DC portion it is to ensure that, as far as possible, DC members of the Scheme are able to retire on a reasonable level of pension, taking into account the contributions paid into their individual accounts and the timescale over which those contributions were paid.</w:t>
      </w:r>
    </w:p>
    <w:p w14:paraId="519C25AD" w14:textId="77777777" w:rsidR="00773640" w:rsidRDefault="00773640" w:rsidP="00773640">
      <w:pPr>
        <w:spacing w:line="240" w:lineRule="auto"/>
        <w:rPr>
          <w:rFonts w:cs="Arial"/>
          <w:sz w:val="22"/>
          <w:szCs w:val="22"/>
        </w:rPr>
      </w:pPr>
    </w:p>
    <w:p w14:paraId="1C8514AF" w14:textId="3537357F" w:rsidR="000D16C7" w:rsidRDefault="0039310B" w:rsidP="00CA2880">
      <w:pPr>
        <w:spacing w:line="240" w:lineRule="auto"/>
        <w:rPr>
          <w:rFonts w:cs="Arial"/>
          <w:sz w:val="22"/>
          <w:szCs w:val="22"/>
        </w:rPr>
      </w:pPr>
      <w:r>
        <w:rPr>
          <w:rFonts w:cs="Arial"/>
          <w:sz w:val="22"/>
          <w:szCs w:val="22"/>
        </w:rPr>
        <w:t>The a</w:t>
      </w:r>
      <w:r w:rsidR="001C62DE">
        <w:rPr>
          <w:rFonts w:cs="Arial"/>
          <w:sz w:val="22"/>
          <w:szCs w:val="22"/>
        </w:rPr>
        <w:t xml:space="preserve">ctuarial </w:t>
      </w:r>
      <w:r>
        <w:rPr>
          <w:rFonts w:cs="Arial"/>
          <w:sz w:val="22"/>
          <w:szCs w:val="22"/>
        </w:rPr>
        <w:t>v</w:t>
      </w:r>
      <w:r w:rsidR="001C62DE">
        <w:rPr>
          <w:rFonts w:cs="Arial"/>
          <w:sz w:val="22"/>
          <w:szCs w:val="22"/>
        </w:rPr>
        <w:t xml:space="preserve">aluation of the Scheme as at 1 February </w:t>
      </w:r>
      <w:r w:rsidR="00293410">
        <w:rPr>
          <w:rFonts w:cs="Arial"/>
          <w:sz w:val="22"/>
          <w:szCs w:val="22"/>
        </w:rPr>
        <w:t xml:space="preserve">2022 </w:t>
      </w:r>
      <w:r w:rsidR="001C62DE">
        <w:rPr>
          <w:rFonts w:cs="Arial"/>
          <w:sz w:val="22"/>
          <w:szCs w:val="22"/>
        </w:rPr>
        <w:t xml:space="preserve">showed that it had a </w:t>
      </w:r>
      <w:r w:rsidR="003852F4">
        <w:rPr>
          <w:rFonts w:cs="Arial"/>
          <w:sz w:val="22"/>
          <w:szCs w:val="22"/>
        </w:rPr>
        <w:t xml:space="preserve">surplus </w:t>
      </w:r>
      <w:r w:rsidR="001C62DE">
        <w:rPr>
          <w:rFonts w:cs="Arial"/>
          <w:sz w:val="22"/>
          <w:szCs w:val="22"/>
        </w:rPr>
        <w:t>of £</w:t>
      </w:r>
      <w:r w:rsidR="00293410">
        <w:rPr>
          <w:rFonts w:cs="Arial"/>
          <w:sz w:val="22"/>
          <w:szCs w:val="22"/>
        </w:rPr>
        <w:t>21</w:t>
      </w:r>
      <w:r w:rsidR="001C62DE">
        <w:rPr>
          <w:rFonts w:cs="Arial"/>
          <w:sz w:val="22"/>
          <w:szCs w:val="22"/>
        </w:rPr>
        <w:t>,000 at that date</w:t>
      </w:r>
      <w:r w:rsidR="00FA152E">
        <w:rPr>
          <w:rFonts w:cs="Arial"/>
          <w:sz w:val="22"/>
          <w:szCs w:val="22"/>
        </w:rPr>
        <w:t xml:space="preserve"> on </w:t>
      </w:r>
      <w:r w:rsidR="00293410">
        <w:rPr>
          <w:rFonts w:cs="Arial"/>
          <w:sz w:val="22"/>
          <w:szCs w:val="22"/>
        </w:rPr>
        <w:t xml:space="preserve">both </w:t>
      </w:r>
      <w:r w:rsidR="00FA152E">
        <w:rPr>
          <w:rFonts w:cs="Arial"/>
          <w:sz w:val="22"/>
          <w:szCs w:val="22"/>
        </w:rPr>
        <w:t>a technical provisions and on a solvency basis</w:t>
      </w:r>
      <w:r w:rsidR="001C62DE">
        <w:rPr>
          <w:rFonts w:cs="Arial"/>
          <w:sz w:val="22"/>
          <w:szCs w:val="22"/>
        </w:rPr>
        <w:t xml:space="preserve">. </w:t>
      </w:r>
      <w:r w:rsidR="00FA152E">
        <w:rPr>
          <w:rFonts w:cs="Arial"/>
          <w:sz w:val="22"/>
          <w:szCs w:val="22"/>
        </w:rPr>
        <w:t>No deficit recovery plan was necessary following this valuation</w:t>
      </w:r>
      <w:r w:rsidR="00293410">
        <w:rPr>
          <w:rFonts w:cs="Arial"/>
          <w:sz w:val="22"/>
          <w:szCs w:val="22"/>
        </w:rPr>
        <w:t>.</w:t>
      </w:r>
      <w:r w:rsidR="00FA152E">
        <w:rPr>
          <w:rFonts w:cs="Arial"/>
          <w:sz w:val="22"/>
          <w:szCs w:val="22"/>
        </w:rPr>
        <w:t xml:space="preserve">, </w:t>
      </w:r>
      <w:r w:rsidR="00293410">
        <w:rPr>
          <w:rFonts w:cs="Arial"/>
          <w:sz w:val="22"/>
          <w:szCs w:val="22"/>
        </w:rPr>
        <w:t xml:space="preserve">The </w:t>
      </w:r>
      <w:r w:rsidR="00AB1409">
        <w:rPr>
          <w:rFonts w:cs="Arial"/>
          <w:sz w:val="22"/>
          <w:szCs w:val="22"/>
        </w:rPr>
        <w:t>v</w:t>
      </w:r>
      <w:r w:rsidR="00293410">
        <w:rPr>
          <w:rFonts w:cs="Arial"/>
          <w:sz w:val="22"/>
          <w:szCs w:val="22"/>
        </w:rPr>
        <w:t>aluation included an allowance for</w:t>
      </w:r>
      <w:r w:rsidR="00FA152E">
        <w:rPr>
          <w:rFonts w:cs="Arial"/>
          <w:sz w:val="22"/>
          <w:szCs w:val="22"/>
        </w:rPr>
        <w:t xml:space="preserve"> the expenses of running the Scheme </w:t>
      </w:r>
      <w:r w:rsidR="00293410">
        <w:rPr>
          <w:rFonts w:cs="Arial"/>
          <w:sz w:val="22"/>
          <w:szCs w:val="22"/>
        </w:rPr>
        <w:t>to be met from the Scheme</w:t>
      </w:r>
      <w:r w:rsidR="00FA152E">
        <w:rPr>
          <w:rFonts w:cs="Arial"/>
          <w:sz w:val="22"/>
          <w:szCs w:val="22"/>
        </w:rPr>
        <w:t xml:space="preserve">. Maintaining the Scheme in surplus </w:t>
      </w:r>
      <w:r w:rsidR="00A05C0C">
        <w:rPr>
          <w:rFonts w:cs="Arial"/>
          <w:sz w:val="22"/>
          <w:szCs w:val="22"/>
        </w:rPr>
        <w:t>wa</w:t>
      </w:r>
      <w:r w:rsidR="00FA152E">
        <w:rPr>
          <w:rFonts w:cs="Arial"/>
          <w:sz w:val="22"/>
          <w:szCs w:val="22"/>
        </w:rPr>
        <w:t>s a further objective of the DB portion of the Scheme.</w:t>
      </w:r>
    </w:p>
    <w:p w14:paraId="7DF9A45A" w14:textId="748E17A6" w:rsidR="00A05C0C" w:rsidRDefault="00A05C0C" w:rsidP="00CA2880">
      <w:pPr>
        <w:spacing w:line="240" w:lineRule="auto"/>
        <w:rPr>
          <w:rFonts w:cs="Arial"/>
          <w:sz w:val="22"/>
          <w:szCs w:val="22"/>
        </w:rPr>
      </w:pPr>
    </w:p>
    <w:p w14:paraId="4009F07A" w14:textId="0002284B" w:rsidR="00851759" w:rsidRDefault="00A05C0C" w:rsidP="00851759">
      <w:pPr>
        <w:spacing w:line="240" w:lineRule="auto"/>
        <w:rPr>
          <w:rFonts w:cs="Arial"/>
          <w:sz w:val="22"/>
          <w:szCs w:val="22"/>
        </w:rPr>
      </w:pPr>
      <w:r>
        <w:rPr>
          <w:rFonts w:cs="Arial"/>
          <w:sz w:val="22"/>
          <w:szCs w:val="22"/>
        </w:rPr>
        <w:t xml:space="preserve">In 2021, in response to developments in the </w:t>
      </w:r>
      <w:r w:rsidR="00E32E8D">
        <w:rPr>
          <w:rFonts w:cs="Arial"/>
          <w:sz w:val="22"/>
          <w:szCs w:val="22"/>
        </w:rPr>
        <w:t>sponsoring e</w:t>
      </w:r>
      <w:r>
        <w:rPr>
          <w:rFonts w:cs="Arial"/>
          <w:sz w:val="22"/>
          <w:szCs w:val="22"/>
        </w:rPr>
        <w:t xml:space="preserve">mployer’s business, and having been advised by the </w:t>
      </w:r>
      <w:r w:rsidR="007805C1">
        <w:rPr>
          <w:rFonts w:cs="Arial"/>
          <w:sz w:val="22"/>
          <w:szCs w:val="22"/>
        </w:rPr>
        <w:t>A</w:t>
      </w:r>
      <w:r>
        <w:rPr>
          <w:rFonts w:cs="Arial"/>
          <w:sz w:val="22"/>
          <w:szCs w:val="22"/>
        </w:rPr>
        <w:t xml:space="preserve">ctuary that the Scheme was likely to be in surplus on a </w:t>
      </w:r>
      <w:r w:rsidR="00880BBF">
        <w:rPr>
          <w:rFonts w:cs="Arial"/>
          <w:sz w:val="22"/>
          <w:szCs w:val="22"/>
        </w:rPr>
        <w:t>solvency</w:t>
      </w:r>
      <w:r>
        <w:rPr>
          <w:rFonts w:cs="Arial"/>
          <w:sz w:val="22"/>
          <w:szCs w:val="22"/>
        </w:rPr>
        <w:t xml:space="preserve"> basis, the Trustees took a number of decisions that resulted in significant changes to their investment objective.</w:t>
      </w:r>
      <w:r w:rsidR="00851759">
        <w:rPr>
          <w:rFonts w:cs="Arial"/>
          <w:sz w:val="22"/>
          <w:szCs w:val="22"/>
        </w:rPr>
        <w:t xml:space="preserve"> These changes included:</w:t>
      </w:r>
    </w:p>
    <w:p w14:paraId="1CC87594" w14:textId="57579519" w:rsidR="00851759" w:rsidRPr="00851759" w:rsidRDefault="00851759" w:rsidP="00FF45A9">
      <w:pPr>
        <w:pStyle w:val="ListParagraph"/>
        <w:numPr>
          <w:ilvl w:val="0"/>
          <w:numId w:val="27"/>
        </w:numPr>
        <w:spacing w:line="240" w:lineRule="auto"/>
        <w:rPr>
          <w:rFonts w:cs="Arial"/>
        </w:rPr>
      </w:pPr>
      <w:r>
        <w:rPr>
          <w:rFonts w:ascii="Arial" w:hAnsi="Arial" w:cs="Arial"/>
        </w:rPr>
        <w:t>The expenses of running the Scheme would be born</w:t>
      </w:r>
      <w:r w:rsidR="00A341BA">
        <w:rPr>
          <w:rFonts w:ascii="Arial" w:hAnsi="Arial" w:cs="Arial"/>
        </w:rPr>
        <w:t>e</w:t>
      </w:r>
      <w:r>
        <w:rPr>
          <w:rFonts w:ascii="Arial" w:hAnsi="Arial" w:cs="Arial"/>
        </w:rPr>
        <w:t xml:space="preserve"> </w:t>
      </w:r>
      <w:r w:rsidR="00A341BA">
        <w:rPr>
          <w:rFonts w:ascii="Arial" w:hAnsi="Arial" w:cs="Arial"/>
        </w:rPr>
        <w:t xml:space="preserve">by the Scheme instead of the </w:t>
      </w:r>
      <w:r w:rsidR="00E32E8D">
        <w:rPr>
          <w:rFonts w:ascii="Arial" w:hAnsi="Arial" w:cs="Arial"/>
        </w:rPr>
        <w:t>sponsoring e</w:t>
      </w:r>
      <w:r w:rsidR="00A341BA">
        <w:rPr>
          <w:rFonts w:ascii="Arial" w:hAnsi="Arial" w:cs="Arial"/>
        </w:rPr>
        <w:t xml:space="preserve">mployer </w:t>
      </w:r>
      <w:r>
        <w:rPr>
          <w:rFonts w:ascii="Arial" w:hAnsi="Arial" w:cs="Arial"/>
        </w:rPr>
        <w:t>with effect from September 2021;</w:t>
      </w:r>
    </w:p>
    <w:p w14:paraId="652F141D" w14:textId="31838510" w:rsidR="00851759" w:rsidRPr="00A341BA" w:rsidRDefault="00851759" w:rsidP="00FF45A9">
      <w:pPr>
        <w:pStyle w:val="ListParagraph"/>
        <w:numPr>
          <w:ilvl w:val="0"/>
          <w:numId w:val="27"/>
        </w:numPr>
        <w:spacing w:line="240" w:lineRule="auto"/>
        <w:rPr>
          <w:rFonts w:cs="Arial"/>
        </w:rPr>
      </w:pPr>
      <w:r>
        <w:rPr>
          <w:rFonts w:ascii="Arial" w:hAnsi="Arial" w:cs="Arial"/>
        </w:rPr>
        <w:t xml:space="preserve">The Trustees would seek to secure the </w:t>
      </w:r>
      <w:r w:rsidR="00A341BA">
        <w:rPr>
          <w:rFonts w:ascii="Arial" w:hAnsi="Arial" w:cs="Arial"/>
        </w:rPr>
        <w:t xml:space="preserve">DB </w:t>
      </w:r>
      <w:r>
        <w:rPr>
          <w:rFonts w:ascii="Arial" w:hAnsi="Arial" w:cs="Arial"/>
        </w:rPr>
        <w:t>liabilities of the Scheme</w:t>
      </w:r>
      <w:r w:rsidR="00A341BA">
        <w:rPr>
          <w:rFonts w:ascii="Arial" w:hAnsi="Arial" w:cs="Arial"/>
        </w:rPr>
        <w:t xml:space="preserve"> through a buy in or buy out of those liabilities</w:t>
      </w:r>
      <w:r w:rsidR="00880BBF">
        <w:rPr>
          <w:rFonts w:ascii="Arial" w:hAnsi="Arial" w:cs="Arial"/>
        </w:rPr>
        <w:t xml:space="preserve"> as soon as was reasonably practical</w:t>
      </w:r>
      <w:r w:rsidR="00A341BA">
        <w:rPr>
          <w:rFonts w:ascii="Arial" w:hAnsi="Arial" w:cs="Arial"/>
        </w:rPr>
        <w:t>;</w:t>
      </w:r>
    </w:p>
    <w:p w14:paraId="3B7B28DA" w14:textId="535A4362" w:rsidR="00A05C0C" w:rsidRPr="00D76AA8" w:rsidRDefault="00A341BA" w:rsidP="00D76AA8">
      <w:pPr>
        <w:pStyle w:val="ListParagraph"/>
        <w:numPr>
          <w:ilvl w:val="0"/>
          <w:numId w:val="27"/>
        </w:numPr>
        <w:spacing w:line="240" w:lineRule="auto"/>
        <w:rPr>
          <w:rFonts w:cs="Arial"/>
        </w:rPr>
      </w:pPr>
      <w:r w:rsidRPr="00A341BA">
        <w:rPr>
          <w:rFonts w:ascii="Arial" w:hAnsi="Arial" w:cs="Arial"/>
        </w:rPr>
        <w:t xml:space="preserve">The Trustees would de-risk the investment strategy and </w:t>
      </w:r>
      <w:r w:rsidR="00E32E8D">
        <w:rPr>
          <w:rFonts w:ascii="Arial" w:hAnsi="Arial" w:cs="Arial"/>
        </w:rPr>
        <w:t>target</w:t>
      </w:r>
      <w:r w:rsidRPr="00A341BA">
        <w:rPr>
          <w:rFonts w:ascii="Arial" w:hAnsi="Arial" w:cs="Arial"/>
        </w:rPr>
        <w:t xml:space="preserve"> a lower rate of </w:t>
      </w:r>
      <w:r w:rsidR="002E1700">
        <w:rPr>
          <w:rFonts w:ascii="Arial" w:hAnsi="Arial" w:cs="Arial"/>
        </w:rPr>
        <w:t>gilts plus 1% (net of fees)</w:t>
      </w:r>
      <w:r w:rsidRPr="00D76AA8">
        <w:rPr>
          <w:rFonts w:cs="Arial"/>
        </w:rPr>
        <w:t>.</w:t>
      </w:r>
    </w:p>
    <w:p w14:paraId="5CD7C785" w14:textId="5F63A119" w:rsidR="006E09C3" w:rsidRDefault="00D76AA8" w:rsidP="00CA2880">
      <w:pPr>
        <w:spacing w:line="240" w:lineRule="auto"/>
        <w:rPr>
          <w:rFonts w:cs="Arial"/>
          <w:sz w:val="22"/>
          <w:szCs w:val="22"/>
        </w:rPr>
      </w:pPr>
      <w:r>
        <w:rPr>
          <w:rFonts w:cs="Arial"/>
          <w:sz w:val="22"/>
          <w:szCs w:val="22"/>
        </w:rPr>
        <w:t xml:space="preserve">The valuation as at 1 February 2022 reflected these changes. In June 2023, the Trustees completed a buy-in of the pension benefits for 17 of the Scheme’s 19 members with Just Retirement Ltd which resulted in just over half of the Scheme’s investment assets being paid to Just by way of premium. </w:t>
      </w:r>
      <w:r w:rsidR="006E09C3">
        <w:rPr>
          <w:rFonts w:cs="Arial"/>
          <w:sz w:val="22"/>
          <w:szCs w:val="22"/>
        </w:rPr>
        <w:t>The Trustees expect that individual polies will be issued to the members concerned in the near future and a buy-out of these liabilities will be completed.</w:t>
      </w:r>
    </w:p>
    <w:p w14:paraId="4ADACD32" w14:textId="77777777" w:rsidR="006E09C3" w:rsidRDefault="006E09C3" w:rsidP="00CA2880">
      <w:pPr>
        <w:spacing w:line="240" w:lineRule="auto"/>
        <w:rPr>
          <w:rFonts w:cs="Arial"/>
          <w:sz w:val="22"/>
          <w:szCs w:val="22"/>
        </w:rPr>
      </w:pPr>
    </w:p>
    <w:p w14:paraId="1A4AE56A" w14:textId="3DBBAABA" w:rsidR="006E09C3" w:rsidRDefault="00F9722A" w:rsidP="00CA2880">
      <w:pPr>
        <w:spacing w:line="240" w:lineRule="auto"/>
        <w:rPr>
          <w:rFonts w:cs="Arial"/>
          <w:sz w:val="22"/>
          <w:szCs w:val="22"/>
        </w:rPr>
      </w:pPr>
      <w:r>
        <w:rPr>
          <w:rFonts w:cs="Arial"/>
          <w:sz w:val="22"/>
          <w:szCs w:val="22"/>
        </w:rPr>
        <w:t>The Trustees are working to secure the benefits of the remaining two members and wind up the Scheme as soon as is reasonably practical</w:t>
      </w:r>
      <w:r w:rsidR="006E09C3">
        <w:rPr>
          <w:rFonts w:cs="Arial"/>
          <w:sz w:val="22"/>
          <w:szCs w:val="22"/>
        </w:rPr>
        <w:t xml:space="preserve">. </w:t>
      </w:r>
      <w:r w:rsidR="00D76AA8">
        <w:rPr>
          <w:rFonts w:cs="Arial"/>
          <w:sz w:val="22"/>
          <w:szCs w:val="22"/>
        </w:rPr>
        <w:t xml:space="preserve">The </w:t>
      </w:r>
      <w:r>
        <w:rPr>
          <w:rFonts w:cs="Arial"/>
          <w:sz w:val="22"/>
          <w:szCs w:val="22"/>
        </w:rPr>
        <w:t xml:space="preserve">remaining </w:t>
      </w:r>
      <w:r w:rsidR="00D76AA8">
        <w:rPr>
          <w:rFonts w:cs="Arial"/>
          <w:sz w:val="22"/>
          <w:szCs w:val="22"/>
        </w:rPr>
        <w:t xml:space="preserve">investment </w:t>
      </w:r>
      <w:r>
        <w:rPr>
          <w:rFonts w:cs="Arial"/>
          <w:sz w:val="22"/>
          <w:szCs w:val="22"/>
        </w:rPr>
        <w:t>assets are held to secure the benefits of the</w:t>
      </w:r>
      <w:r w:rsidR="00773640">
        <w:rPr>
          <w:rFonts w:cs="Arial"/>
          <w:sz w:val="22"/>
          <w:szCs w:val="22"/>
        </w:rPr>
        <w:t>se</w:t>
      </w:r>
      <w:r>
        <w:rPr>
          <w:rFonts w:cs="Arial"/>
          <w:sz w:val="22"/>
          <w:szCs w:val="22"/>
        </w:rPr>
        <w:t xml:space="preserve"> two members, one of which is a </w:t>
      </w:r>
      <w:r w:rsidR="006E09C3">
        <w:rPr>
          <w:rFonts w:cs="Arial"/>
          <w:sz w:val="22"/>
          <w:szCs w:val="22"/>
        </w:rPr>
        <w:t xml:space="preserve">deferred DC member whose benefits have a GMP underpin, while the other is a </w:t>
      </w:r>
      <w:r w:rsidR="00773640">
        <w:rPr>
          <w:rFonts w:cs="Arial"/>
          <w:sz w:val="22"/>
          <w:szCs w:val="22"/>
        </w:rPr>
        <w:t xml:space="preserve">DB </w:t>
      </w:r>
      <w:r>
        <w:rPr>
          <w:rFonts w:cs="Arial"/>
          <w:sz w:val="22"/>
          <w:szCs w:val="22"/>
        </w:rPr>
        <w:t xml:space="preserve">pensioner. </w:t>
      </w:r>
      <w:r w:rsidR="006E09C3">
        <w:rPr>
          <w:rFonts w:cs="Arial"/>
          <w:sz w:val="22"/>
          <w:szCs w:val="22"/>
        </w:rPr>
        <w:t xml:space="preserve">The Scheme will also be required to settle any liabilities </w:t>
      </w:r>
      <w:r w:rsidR="00AB1409">
        <w:rPr>
          <w:rFonts w:cs="Arial"/>
          <w:sz w:val="22"/>
          <w:szCs w:val="22"/>
        </w:rPr>
        <w:t>payable</w:t>
      </w:r>
      <w:r w:rsidR="006E09C3">
        <w:rPr>
          <w:rFonts w:cs="Arial"/>
          <w:sz w:val="22"/>
          <w:szCs w:val="22"/>
        </w:rPr>
        <w:t xml:space="preserve"> to equalise Guaranteed Minimum Pensions for past members of the Scheme, and to settle the Scheme’s expenses</w:t>
      </w:r>
      <w:r w:rsidR="00AB1409">
        <w:rPr>
          <w:rFonts w:cs="Arial"/>
          <w:sz w:val="22"/>
          <w:szCs w:val="22"/>
        </w:rPr>
        <w:t xml:space="preserve"> until it winds up</w:t>
      </w:r>
      <w:r w:rsidR="006E09C3">
        <w:rPr>
          <w:rFonts w:cs="Arial"/>
          <w:sz w:val="22"/>
          <w:szCs w:val="22"/>
        </w:rPr>
        <w:t xml:space="preserve">. </w:t>
      </w:r>
    </w:p>
    <w:p w14:paraId="540413DE" w14:textId="77777777" w:rsidR="006E09C3" w:rsidRDefault="006E09C3" w:rsidP="00CA2880">
      <w:pPr>
        <w:spacing w:line="240" w:lineRule="auto"/>
        <w:rPr>
          <w:rFonts w:cs="Arial"/>
          <w:sz w:val="22"/>
          <w:szCs w:val="22"/>
        </w:rPr>
      </w:pPr>
    </w:p>
    <w:p w14:paraId="34CD8D71" w14:textId="1F8A735C" w:rsidR="00CC4C88" w:rsidRDefault="00773640" w:rsidP="00CA2880">
      <w:pPr>
        <w:spacing w:line="240" w:lineRule="auto"/>
        <w:rPr>
          <w:rFonts w:cs="Arial"/>
          <w:sz w:val="22"/>
          <w:szCs w:val="22"/>
        </w:rPr>
      </w:pPr>
      <w:r>
        <w:rPr>
          <w:rFonts w:cs="Arial"/>
          <w:sz w:val="22"/>
          <w:szCs w:val="22"/>
        </w:rPr>
        <w:t xml:space="preserve">The investment strategy has been framed </w:t>
      </w:r>
      <w:r w:rsidR="006E09C3">
        <w:rPr>
          <w:rFonts w:cs="Arial"/>
          <w:sz w:val="22"/>
          <w:szCs w:val="22"/>
        </w:rPr>
        <w:t xml:space="preserve">accordingly and the </w:t>
      </w:r>
      <w:r w:rsidR="00AB1409">
        <w:rPr>
          <w:rFonts w:cs="Arial"/>
          <w:sz w:val="22"/>
          <w:szCs w:val="22"/>
        </w:rPr>
        <w:t xml:space="preserve">investment </w:t>
      </w:r>
      <w:r w:rsidR="006E09C3">
        <w:rPr>
          <w:rFonts w:cs="Arial"/>
          <w:sz w:val="22"/>
          <w:szCs w:val="22"/>
        </w:rPr>
        <w:t xml:space="preserve">assets are held in two notional funds, one allocated to the DC benefits and the other </w:t>
      </w:r>
      <w:r w:rsidR="00AB1409">
        <w:rPr>
          <w:rFonts w:cs="Arial"/>
          <w:sz w:val="22"/>
          <w:szCs w:val="22"/>
        </w:rPr>
        <w:t>to meet</w:t>
      </w:r>
      <w:r w:rsidR="006E09C3">
        <w:rPr>
          <w:rFonts w:cs="Arial"/>
          <w:sz w:val="22"/>
          <w:szCs w:val="22"/>
        </w:rPr>
        <w:t xml:space="preserve"> the DB benefits and other liabilities, termed the DC fund and the DB fund respectively. D</w:t>
      </w:r>
      <w:r>
        <w:rPr>
          <w:rFonts w:cs="Arial"/>
          <w:sz w:val="22"/>
          <w:szCs w:val="22"/>
        </w:rPr>
        <w:t xml:space="preserve">ifferent </w:t>
      </w:r>
      <w:r w:rsidR="006E09C3">
        <w:rPr>
          <w:rFonts w:cs="Arial"/>
          <w:sz w:val="22"/>
          <w:szCs w:val="22"/>
        </w:rPr>
        <w:t>investment strategies have been adopted for the two funds. This represents a change from t</w:t>
      </w:r>
      <w:r w:rsidR="00911D2E">
        <w:rPr>
          <w:rFonts w:cs="Arial"/>
          <w:sz w:val="22"/>
          <w:szCs w:val="22"/>
        </w:rPr>
        <w:t>he Trustees</w:t>
      </w:r>
      <w:r w:rsidR="00AB1409">
        <w:rPr>
          <w:rFonts w:cs="Arial"/>
          <w:sz w:val="22"/>
          <w:szCs w:val="22"/>
        </w:rPr>
        <w:t>’</w:t>
      </w:r>
      <w:r w:rsidR="00911D2E">
        <w:rPr>
          <w:rFonts w:cs="Arial"/>
          <w:sz w:val="22"/>
          <w:szCs w:val="22"/>
        </w:rPr>
        <w:t xml:space="preserve"> </w:t>
      </w:r>
      <w:r w:rsidR="006E09C3">
        <w:rPr>
          <w:rFonts w:cs="Arial"/>
          <w:sz w:val="22"/>
          <w:szCs w:val="22"/>
        </w:rPr>
        <w:t xml:space="preserve">previous strategy of </w:t>
      </w:r>
      <w:r w:rsidR="00911D2E">
        <w:rPr>
          <w:rFonts w:cs="Arial"/>
          <w:sz w:val="22"/>
          <w:szCs w:val="22"/>
        </w:rPr>
        <w:t>invest</w:t>
      </w:r>
      <w:r w:rsidR="006E09C3">
        <w:rPr>
          <w:rFonts w:cs="Arial"/>
          <w:sz w:val="22"/>
          <w:szCs w:val="22"/>
        </w:rPr>
        <w:t>ing</w:t>
      </w:r>
      <w:r w:rsidR="00911D2E">
        <w:rPr>
          <w:rFonts w:cs="Arial"/>
          <w:sz w:val="22"/>
          <w:szCs w:val="22"/>
        </w:rPr>
        <w:t xml:space="preserve"> all the Scheme’s assets as a whole, rather than segregating them between assets of the DB and DC portions of the Scheme respectively. </w:t>
      </w:r>
    </w:p>
    <w:p w14:paraId="0746AE81" w14:textId="77777777" w:rsidR="00CC4C88" w:rsidRDefault="00CC4C88" w:rsidP="00CA2880">
      <w:pPr>
        <w:spacing w:line="240" w:lineRule="auto"/>
        <w:rPr>
          <w:rFonts w:cs="Arial"/>
          <w:sz w:val="22"/>
          <w:szCs w:val="22"/>
        </w:rPr>
      </w:pPr>
    </w:p>
    <w:p w14:paraId="36D4C145" w14:textId="7C591175" w:rsidR="00D66D8B" w:rsidRDefault="00911D2E" w:rsidP="00CA2880">
      <w:pPr>
        <w:spacing w:line="240" w:lineRule="auto"/>
        <w:rPr>
          <w:rFonts w:cs="Arial"/>
          <w:sz w:val="22"/>
          <w:szCs w:val="22"/>
        </w:rPr>
      </w:pPr>
      <w:r>
        <w:rPr>
          <w:rFonts w:cs="Arial"/>
          <w:sz w:val="22"/>
          <w:szCs w:val="22"/>
        </w:rPr>
        <w:t xml:space="preserve">The </w:t>
      </w:r>
      <w:r w:rsidR="002C7FB2">
        <w:rPr>
          <w:rFonts w:cs="Arial"/>
          <w:sz w:val="22"/>
          <w:szCs w:val="22"/>
        </w:rPr>
        <w:t xml:space="preserve">initial </w:t>
      </w:r>
      <w:r w:rsidR="003629FF">
        <w:rPr>
          <w:rFonts w:cs="Arial"/>
          <w:sz w:val="22"/>
          <w:szCs w:val="22"/>
        </w:rPr>
        <w:t xml:space="preserve">apportionment of </w:t>
      </w:r>
      <w:r w:rsidR="002C7FB2">
        <w:rPr>
          <w:rFonts w:cs="Arial"/>
          <w:sz w:val="22"/>
          <w:szCs w:val="22"/>
        </w:rPr>
        <w:t xml:space="preserve">Scheme </w:t>
      </w:r>
      <w:r w:rsidR="003629FF">
        <w:rPr>
          <w:rFonts w:cs="Arial"/>
          <w:sz w:val="22"/>
          <w:szCs w:val="22"/>
        </w:rPr>
        <w:t xml:space="preserve">assets between the two funds reflects the calculation </w:t>
      </w:r>
      <w:r w:rsidR="00AB1409">
        <w:rPr>
          <w:rFonts w:cs="Arial"/>
          <w:sz w:val="22"/>
          <w:szCs w:val="22"/>
        </w:rPr>
        <w:t>by</w:t>
      </w:r>
      <w:r w:rsidR="003629FF">
        <w:rPr>
          <w:rFonts w:cs="Arial"/>
          <w:sz w:val="22"/>
          <w:szCs w:val="22"/>
        </w:rPr>
        <w:t xml:space="preserve"> the Actuary of the </w:t>
      </w:r>
      <w:r>
        <w:rPr>
          <w:rFonts w:cs="Arial"/>
          <w:sz w:val="22"/>
          <w:szCs w:val="22"/>
        </w:rPr>
        <w:t xml:space="preserve">value of </w:t>
      </w:r>
      <w:r w:rsidR="003629FF">
        <w:rPr>
          <w:rFonts w:cs="Arial"/>
          <w:sz w:val="22"/>
          <w:szCs w:val="22"/>
        </w:rPr>
        <w:t xml:space="preserve">the individual </w:t>
      </w:r>
      <w:r>
        <w:rPr>
          <w:rFonts w:cs="Arial"/>
          <w:sz w:val="22"/>
          <w:szCs w:val="22"/>
        </w:rPr>
        <w:t xml:space="preserve">DC </w:t>
      </w:r>
      <w:r w:rsidR="0036504A">
        <w:rPr>
          <w:rFonts w:cs="Arial"/>
          <w:sz w:val="22"/>
          <w:szCs w:val="22"/>
        </w:rPr>
        <w:t xml:space="preserve">account by reference to </w:t>
      </w:r>
      <w:r w:rsidR="00AB1409">
        <w:rPr>
          <w:rFonts w:cs="Arial"/>
          <w:sz w:val="22"/>
          <w:szCs w:val="22"/>
        </w:rPr>
        <w:t xml:space="preserve">the </w:t>
      </w:r>
      <w:r w:rsidR="003B3605">
        <w:rPr>
          <w:rFonts w:cs="Arial"/>
          <w:sz w:val="22"/>
          <w:szCs w:val="22"/>
        </w:rPr>
        <w:t>member’</w:t>
      </w:r>
      <w:r w:rsidR="00AB1409">
        <w:rPr>
          <w:rFonts w:cs="Arial"/>
          <w:sz w:val="22"/>
          <w:szCs w:val="22"/>
        </w:rPr>
        <w:t>s</w:t>
      </w:r>
      <w:r w:rsidR="003B3605">
        <w:rPr>
          <w:rFonts w:cs="Arial"/>
          <w:sz w:val="22"/>
          <w:szCs w:val="22"/>
        </w:rPr>
        <w:t xml:space="preserve"> </w:t>
      </w:r>
      <w:r w:rsidR="0036504A">
        <w:rPr>
          <w:rFonts w:cs="Arial"/>
          <w:sz w:val="22"/>
          <w:szCs w:val="22"/>
        </w:rPr>
        <w:t xml:space="preserve">contributions paid </w:t>
      </w:r>
      <w:r w:rsidR="003B3605">
        <w:rPr>
          <w:rFonts w:cs="Arial"/>
          <w:sz w:val="22"/>
          <w:szCs w:val="22"/>
        </w:rPr>
        <w:t xml:space="preserve">into the Scheme </w:t>
      </w:r>
      <w:r w:rsidR="0036504A">
        <w:rPr>
          <w:rFonts w:cs="Arial"/>
          <w:sz w:val="22"/>
          <w:szCs w:val="22"/>
        </w:rPr>
        <w:t xml:space="preserve">and the return earned on all of the Scheme’s assets </w:t>
      </w:r>
      <w:r w:rsidR="003629FF">
        <w:rPr>
          <w:rFonts w:cs="Arial"/>
          <w:sz w:val="22"/>
          <w:szCs w:val="22"/>
        </w:rPr>
        <w:t>up to the point in time when the apportionment was made.</w:t>
      </w:r>
      <w:r w:rsidR="00D66D8B">
        <w:rPr>
          <w:rFonts w:cs="Arial"/>
          <w:sz w:val="22"/>
          <w:szCs w:val="22"/>
        </w:rPr>
        <w:t xml:space="preserve"> The objective of the DB fund is to achieve an investment return of gilts plus </w:t>
      </w:r>
      <w:r w:rsidR="00F52E40">
        <w:rPr>
          <w:rFonts w:cs="Arial"/>
          <w:sz w:val="22"/>
          <w:szCs w:val="22"/>
        </w:rPr>
        <w:t>1</w:t>
      </w:r>
      <w:r w:rsidR="00D66D8B">
        <w:rPr>
          <w:rFonts w:cs="Arial"/>
          <w:sz w:val="22"/>
          <w:szCs w:val="22"/>
        </w:rPr>
        <w:t xml:space="preserve">%, while the DC Fund is targeting a return </w:t>
      </w:r>
      <w:r w:rsidR="00F52E40">
        <w:rPr>
          <w:rFonts w:cs="Arial"/>
          <w:sz w:val="22"/>
          <w:szCs w:val="22"/>
        </w:rPr>
        <w:t xml:space="preserve">in the range </w:t>
      </w:r>
      <w:r w:rsidR="00D66D8B">
        <w:rPr>
          <w:rFonts w:cs="Arial"/>
          <w:sz w:val="22"/>
          <w:szCs w:val="22"/>
        </w:rPr>
        <w:t xml:space="preserve">of </w:t>
      </w:r>
      <w:r w:rsidR="00F52E40">
        <w:rPr>
          <w:rFonts w:cs="Arial"/>
          <w:sz w:val="22"/>
          <w:szCs w:val="22"/>
        </w:rPr>
        <w:t>3 to 4</w:t>
      </w:r>
      <w:r w:rsidR="00D66D8B">
        <w:rPr>
          <w:rFonts w:cs="Arial"/>
          <w:sz w:val="22"/>
          <w:szCs w:val="22"/>
        </w:rPr>
        <w:t xml:space="preserve">% above </w:t>
      </w:r>
      <w:r w:rsidR="00F52E40">
        <w:rPr>
          <w:rFonts w:cs="Arial"/>
          <w:sz w:val="22"/>
          <w:szCs w:val="22"/>
        </w:rPr>
        <w:t xml:space="preserve">CPI </w:t>
      </w:r>
      <w:r w:rsidR="00D66D8B">
        <w:rPr>
          <w:rFonts w:cs="Arial"/>
          <w:sz w:val="22"/>
          <w:szCs w:val="22"/>
        </w:rPr>
        <w:t>inflation.</w:t>
      </w:r>
    </w:p>
    <w:p w14:paraId="3F5E486F" w14:textId="77777777" w:rsidR="0036504A" w:rsidRDefault="0036504A" w:rsidP="00CA2880">
      <w:pPr>
        <w:spacing w:line="240" w:lineRule="auto"/>
        <w:rPr>
          <w:rFonts w:cs="Arial"/>
          <w:sz w:val="22"/>
          <w:szCs w:val="22"/>
        </w:rPr>
      </w:pPr>
    </w:p>
    <w:p w14:paraId="3E3833F4" w14:textId="77777777" w:rsidR="00AB1409" w:rsidRDefault="00AB1409">
      <w:pPr>
        <w:spacing w:line="240" w:lineRule="auto"/>
        <w:rPr>
          <w:rFonts w:cs="Arial"/>
          <w:b/>
          <w:sz w:val="22"/>
          <w:szCs w:val="22"/>
        </w:rPr>
      </w:pPr>
    </w:p>
    <w:p w14:paraId="29F1E56F" w14:textId="5A2AFCFC" w:rsidR="00CC4C88" w:rsidRDefault="00CC4C88">
      <w:pPr>
        <w:spacing w:line="240" w:lineRule="auto"/>
        <w:rPr>
          <w:rFonts w:cs="Arial"/>
          <w:b/>
          <w:sz w:val="22"/>
          <w:szCs w:val="22"/>
        </w:rPr>
      </w:pPr>
      <w:r>
        <w:rPr>
          <w:rFonts w:cs="Arial"/>
          <w:b/>
          <w:sz w:val="22"/>
          <w:szCs w:val="22"/>
        </w:rPr>
        <w:t>Implementation of Investment Strategy</w:t>
      </w:r>
    </w:p>
    <w:p w14:paraId="61500CB4" w14:textId="77777777" w:rsidR="0021463E" w:rsidRDefault="0021463E">
      <w:pPr>
        <w:spacing w:line="240" w:lineRule="auto"/>
        <w:rPr>
          <w:rFonts w:cs="Arial"/>
          <w:sz w:val="22"/>
          <w:szCs w:val="22"/>
        </w:rPr>
      </w:pPr>
    </w:p>
    <w:p w14:paraId="25506A8B" w14:textId="08832367" w:rsidR="00F85A95" w:rsidRDefault="008D01BB">
      <w:pPr>
        <w:spacing w:line="240" w:lineRule="auto"/>
        <w:rPr>
          <w:rFonts w:cs="Arial"/>
          <w:sz w:val="22"/>
          <w:szCs w:val="22"/>
        </w:rPr>
      </w:pPr>
      <w:r>
        <w:rPr>
          <w:rFonts w:cs="Arial"/>
          <w:sz w:val="22"/>
          <w:szCs w:val="22"/>
        </w:rPr>
        <w:t xml:space="preserve">All of the Scheme’s investments are held in a range of pooled funds, and the Scheme’s </w:t>
      </w:r>
      <w:r w:rsidR="00FC3157">
        <w:rPr>
          <w:rFonts w:cs="Arial"/>
          <w:sz w:val="22"/>
          <w:szCs w:val="22"/>
        </w:rPr>
        <w:t xml:space="preserve">projected </w:t>
      </w:r>
      <w:r>
        <w:rPr>
          <w:rFonts w:cs="Arial"/>
          <w:sz w:val="22"/>
          <w:szCs w:val="22"/>
        </w:rPr>
        <w:t xml:space="preserve">near-term cash requirements are held in </w:t>
      </w:r>
      <w:r w:rsidR="00FC3157">
        <w:rPr>
          <w:rFonts w:cs="Arial"/>
          <w:sz w:val="22"/>
          <w:szCs w:val="22"/>
        </w:rPr>
        <w:t xml:space="preserve">a </w:t>
      </w:r>
      <w:r>
        <w:rPr>
          <w:rFonts w:cs="Arial"/>
          <w:sz w:val="22"/>
          <w:szCs w:val="22"/>
        </w:rPr>
        <w:t>money market deposit</w:t>
      </w:r>
      <w:r w:rsidR="00FC3157">
        <w:rPr>
          <w:rFonts w:cs="Arial"/>
          <w:sz w:val="22"/>
          <w:szCs w:val="22"/>
        </w:rPr>
        <w:t xml:space="preserve"> account with the investment manager.</w:t>
      </w:r>
    </w:p>
    <w:p w14:paraId="68654423" w14:textId="055DE9AF" w:rsidR="00C5651E" w:rsidRDefault="00C5651E">
      <w:pPr>
        <w:spacing w:line="240" w:lineRule="auto"/>
        <w:rPr>
          <w:rFonts w:cs="Arial"/>
          <w:sz w:val="22"/>
          <w:szCs w:val="22"/>
        </w:rPr>
      </w:pPr>
    </w:p>
    <w:p w14:paraId="63600E2E" w14:textId="2FED0DD1" w:rsidR="00323903" w:rsidRDefault="000434E5" w:rsidP="00CA2880">
      <w:pPr>
        <w:spacing w:line="240" w:lineRule="auto"/>
        <w:rPr>
          <w:rFonts w:cs="Arial"/>
          <w:sz w:val="22"/>
          <w:szCs w:val="22"/>
        </w:rPr>
      </w:pPr>
      <w:r>
        <w:rPr>
          <w:rFonts w:cs="Arial"/>
          <w:sz w:val="22"/>
          <w:szCs w:val="22"/>
        </w:rPr>
        <w:t xml:space="preserve">The Trustees have decided that all of their funds will be invested through St James’s Place Wealth Management. </w:t>
      </w:r>
      <w:r w:rsidR="0086392B">
        <w:rPr>
          <w:rFonts w:cs="Arial"/>
          <w:sz w:val="22"/>
          <w:szCs w:val="22"/>
        </w:rPr>
        <w:t xml:space="preserve">Having received advice from their </w:t>
      </w:r>
      <w:r w:rsidR="0039310B">
        <w:rPr>
          <w:rFonts w:cs="Arial"/>
          <w:sz w:val="22"/>
          <w:szCs w:val="22"/>
        </w:rPr>
        <w:t>I</w:t>
      </w:r>
      <w:r w:rsidR="0086392B">
        <w:rPr>
          <w:rFonts w:cs="Arial"/>
          <w:sz w:val="22"/>
          <w:szCs w:val="22"/>
        </w:rPr>
        <w:t xml:space="preserve">nvestment </w:t>
      </w:r>
      <w:r w:rsidR="0039310B">
        <w:rPr>
          <w:rFonts w:cs="Arial"/>
          <w:sz w:val="22"/>
          <w:szCs w:val="22"/>
        </w:rPr>
        <w:t>A</w:t>
      </w:r>
      <w:r w:rsidR="0086392B">
        <w:rPr>
          <w:rFonts w:cs="Arial"/>
          <w:sz w:val="22"/>
          <w:szCs w:val="22"/>
        </w:rPr>
        <w:t xml:space="preserve">dviser, the Trustees have agreed to invest </w:t>
      </w:r>
      <w:r w:rsidR="004265AA">
        <w:rPr>
          <w:rFonts w:cs="Arial"/>
          <w:sz w:val="22"/>
          <w:szCs w:val="22"/>
        </w:rPr>
        <w:t>in bespoke portfolio</w:t>
      </w:r>
      <w:r w:rsidR="00AB1409">
        <w:rPr>
          <w:rFonts w:cs="Arial"/>
          <w:sz w:val="22"/>
          <w:szCs w:val="22"/>
        </w:rPr>
        <w:t>s</w:t>
      </w:r>
      <w:r w:rsidR="004265AA">
        <w:rPr>
          <w:rFonts w:cs="Arial"/>
          <w:sz w:val="22"/>
          <w:szCs w:val="22"/>
        </w:rPr>
        <w:t xml:space="preserve"> of </w:t>
      </w:r>
      <w:r w:rsidR="00C67BA6">
        <w:rPr>
          <w:rFonts w:cs="Arial"/>
          <w:sz w:val="22"/>
          <w:szCs w:val="22"/>
        </w:rPr>
        <w:t xml:space="preserve">8 </w:t>
      </w:r>
      <w:r w:rsidR="004265AA">
        <w:rPr>
          <w:rFonts w:cs="Arial"/>
          <w:sz w:val="22"/>
          <w:szCs w:val="22"/>
        </w:rPr>
        <w:t>different funds</w:t>
      </w:r>
      <w:r w:rsidR="00AB1409">
        <w:rPr>
          <w:rFonts w:cs="Arial"/>
          <w:sz w:val="22"/>
          <w:szCs w:val="22"/>
        </w:rPr>
        <w:t xml:space="preserve"> for the DB Fund and </w:t>
      </w:r>
      <w:r w:rsidR="00C67BA6">
        <w:rPr>
          <w:rFonts w:cs="Arial"/>
          <w:sz w:val="22"/>
          <w:szCs w:val="22"/>
        </w:rPr>
        <w:t>2 SJP pension</w:t>
      </w:r>
      <w:r w:rsidR="00AB1409">
        <w:rPr>
          <w:rFonts w:cs="Arial"/>
          <w:sz w:val="22"/>
          <w:szCs w:val="22"/>
        </w:rPr>
        <w:t xml:space="preserve"> funds</w:t>
      </w:r>
      <w:r w:rsidR="00C67BA6">
        <w:rPr>
          <w:rFonts w:cs="Arial"/>
          <w:sz w:val="22"/>
          <w:szCs w:val="22"/>
        </w:rPr>
        <w:t>, each managed on a manager of manager basis but with different risk attributes,</w:t>
      </w:r>
      <w:r w:rsidR="00AB1409">
        <w:rPr>
          <w:rFonts w:cs="Arial"/>
          <w:sz w:val="22"/>
          <w:szCs w:val="22"/>
        </w:rPr>
        <w:t xml:space="preserve"> for the DC Fund</w:t>
      </w:r>
      <w:r w:rsidR="002B7B1D">
        <w:rPr>
          <w:rFonts w:cs="Arial"/>
          <w:sz w:val="22"/>
          <w:szCs w:val="22"/>
        </w:rPr>
        <w:t xml:space="preserve">. </w:t>
      </w:r>
    </w:p>
    <w:p w14:paraId="770CF8BD" w14:textId="77777777" w:rsidR="00323903" w:rsidRDefault="00323903" w:rsidP="00CA2880">
      <w:pPr>
        <w:spacing w:line="240" w:lineRule="auto"/>
        <w:rPr>
          <w:rFonts w:cs="Arial"/>
          <w:sz w:val="22"/>
          <w:szCs w:val="22"/>
        </w:rPr>
      </w:pPr>
    </w:p>
    <w:p w14:paraId="47AF586E" w14:textId="7AD3DC2A" w:rsidR="00F14F79" w:rsidRDefault="00C07431" w:rsidP="00C07431">
      <w:pPr>
        <w:pStyle w:val="BodyText"/>
        <w:spacing w:after="0" w:line="240" w:lineRule="auto"/>
        <w:contextualSpacing/>
        <w:rPr>
          <w:rFonts w:cs="Arial"/>
          <w:sz w:val="22"/>
          <w:szCs w:val="22"/>
        </w:rPr>
      </w:pPr>
      <w:r w:rsidRPr="009B5040">
        <w:rPr>
          <w:rFonts w:cs="Arial"/>
          <w:sz w:val="22"/>
          <w:szCs w:val="22"/>
        </w:rPr>
        <w:t>The assets of the Scheme are invested in pooled vehicles. Selection of the individual underlying assets has been wholly delegated to the fund managers</w:t>
      </w:r>
      <w:r>
        <w:rPr>
          <w:rFonts w:cs="Arial"/>
          <w:sz w:val="22"/>
          <w:szCs w:val="22"/>
        </w:rPr>
        <w:t xml:space="preserve">. </w:t>
      </w:r>
      <w:r w:rsidR="002B7B1D">
        <w:rPr>
          <w:rFonts w:cs="Arial"/>
          <w:sz w:val="22"/>
          <w:szCs w:val="22"/>
        </w:rPr>
        <w:t xml:space="preserve">St James’s Place Wealth Management have selected the managers for each of the funds in the total portfolio. </w:t>
      </w:r>
      <w:r w:rsidR="006D1977">
        <w:rPr>
          <w:rFonts w:cs="Arial"/>
          <w:sz w:val="22"/>
          <w:szCs w:val="22"/>
        </w:rPr>
        <w:t xml:space="preserve">Many </w:t>
      </w:r>
      <w:r w:rsidR="00F14F79">
        <w:rPr>
          <w:rFonts w:cs="Arial"/>
          <w:sz w:val="22"/>
          <w:szCs w:val="22"/>
        </w:rPr>
        <w:t xml:space="preserve">individual funds are managed on a multi-manager basis. Through this structure, the Trustees have </w:t>
      </w:r>
      <w:r w:rsidR="00FC3157">
        <w:rPr>
          <w:rFonts w:cs="Arial"/>
          <w:sz w:val="22"/>
          <w:szCs w:val="22"/>
        </w:rPr>
        <w:t>diversified</w:t>
      </w:r>
      <w:r w:rsidR="00F14F79">
        <w:rPr>
          <w:rFonts w:cs="Arial"/>
          <w:sz w:val="22"/>
          <w:szCs w:val="22"/>
        </w:rPr>
        <w:t xml:space="preserve"> their investments, not just between asset classes but also between asset managers. </w:t>
      </w:r>
      <w:r w:rsidR="00F52E40">
        <w:rPr>
          <w:rFonts w:cs="Arial"/>
          <w:sz w:val="22"/>
          <w:szCs w:val="22"/>
        </w:rPr>
        <w:t>All</w:t>
      </w:r>
      <w:r w:rsidR="00323903">
        <w:rPr>
          <w:rFonts w:cs="Arial"/>
          <w:sz w:val="22"/>
          <w:szCs w:val="22"/>
        </w:rPr>
        <w:t xml:space="preserve"> of the assets are held in asset classes that are sufficiently liquid to be realised easily if the Trustees require. </w:t>
      </w:r>
    </w:p>
    <w:p w14:paraId="2CE051D9" w14:textId="77777777" w:rsidR="00F14F79" w:rsidRDefault="00F14F79" w:rsidP="00CA2880">
      <w:pPr>
        <w:spacing w:line="240" w:lineRule="auto"/>
        <w:rPr>
          <w:rFonts w:cs="Arial"/>
          <w:sz w:val="22"/>
          <w:szCs w:val="22"/>
        </w:rPr>
      </w:pPr>
    </w:p>
    <w:p w14:paraId="34B0BC29" w14:textId="77777777" w:rsidR="00323903" w:rsidRDefault="00323903" w:rsidP="00CA2880">
      <w:pPr>
        <w:spacing w:line="240" w:lineRule="auto"/>
        <w:rPr>
          <w:rFonts w:cs="Arial"/>
          <w:b/>
          <w:sz w:val="22"/>
          <w:szCs w:val="22"/>
        </w:rPr>
      </w:pPr>
    </w:p>
    <w:p w14:paraId="7B2F51EC" w14:textId="77777777" w:rsidR="00323903" w:rsidRDefault="00323903" w:rsidP="00CA2880">
      <w:pPr>
        <w:spacing w:line="240" w:lineRule="auto"/>
        <w:rPr>
          <w:rFonts w:cs="Arial"/>
          <w:b/>
          <w:sz w:val="22"/>
          <w:szCs w:val="22"/>
        </w:rPr>
      </w:pPr>
      <w:r>
        <w:rPr>
          <w:rFonts w:cs="Arial"/>
          <w:b/>
          <w:sz w:val="22"/>
          <w:szCs w:val="22"/>
        </w:rPr>
        <w:t>Asset and fund allocations</w:t>
      </w:r>
    </w:p>
    <w:p w14:paraId="6166D38D" w14:textId="77777777" w:rsidR="004717E5" w:rsidRDefault="004717E5" w:rsidP="00CA2880">
      <w:pPr>
        <w:spacing w:line="240" w:lineRule="auto"/>
        <w:rPr>
          <w:rFonts w:cs="Arial"/>
          <w:sz w:val="22"/>
          <w:szCs w:val="22"/>
        </w:rPr>
      </w:pPr>
    </w:p>
    <w:p w14:paraId="40CEBC23" w14:textId="6176FBD6" w:rsidR="0086392B" w:rsidRDefault="00D550AB" w:rsidP="00CA2880">
      <w:pPr>
        <w:spacing w:line="240" w:lineRule="auto"/>
        <w:rPr>
          <w:rFonts w:cs="Arial"/>
          <w:sz w:val="22"/>
          <w:szCs w:val="22"/>
        </w:rPr>
      </w:pPr>
      <w:r>
        <w:rPr>
          <w:rFonts w:cs="Arial"/>
          <w:sz w:val="22"/>
          <w:szCs w:val="22"/>
        </w:rPr>
        <w:t xml:space="preserve">The proportion of funds invested in differing </w:t>
      </w:r>
      <w:r w:rsidR="0086392B">
        <w:rPr>
          <w:rFonts w:cs="Arial"/>
          <w:sz w:val="22"/>
          <w:szCs w:val="22"/>
        </w:rPr>
        <w:t xml:space="preserve">asset classes </w:t>
      </w:r>
      <w:r>
        <w:rPr>
          <w:rFonts w:cs="Arial"/>
          <w:sz w:val="22"/>
          <w:szCs w:val="22"/>
        </w:rPr>
        <w:t>is show below.</w:t>
      </w:r>
    </w:p>
    <w:p w14:paraId="5614647A" w14:textId="77777777" w:rsidR="00F14F79" w:rsidRDefault="00F14F79" w:rsidP="00CA2880">
      <w:pPr>
        <w:spacing w:line="240" w:lineRule="auto"/>
        <w:rPr>
          <w:rFonts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1581"/>
        <w:gridCol w:w="1581"/>
      </w:tblGrid>
      <w:tr w:rsidR="0021463E" w:rsidRPr="00721761" w14:paraId="263311B6" w14:textId="06869EA4" w:rsidTr="000F579E">
        <w:tc>
          <w:tcPr>
            <w:tcW w:w="3085" w:type="dxa"/>
            <w:shd w:val="clear" w:color="auto" w:fill="auto"/>
          </w:tcPr>
          <w:p w14:paraId="675F8D63" w14:textId="77777777" w:rsidR="0021463E" w:rsidRPr="00721761" w:rsidRDefault="0021463E" w:rsidP="00721761">
            <w:pPr>
              <w:spacing w:line="240" w:lineRule="auto"/>
              <w:rPr>
                <w:rFonts w:cs="Arial"/>
                <w:b/>
                <w:sz w:val="22"/>
                <w:szCs w:val="22"/>
              </w:rPr>
            </w:pPr>
            <w:r w:rsidRPr="00721761">
              <w:rPr>
                <w:rFonts w:cs="Arial"/>
                <w:b/>
                <w:sz w:val="22"/>
                <w:szCs w:val="22"/>
              </w:rPr>
              <w:t>Asset Class</w:t>
            </w:r>
          </w:p>
        </w:tc>
        <w:tc>
          <w:tcPr>
            <w:tcW w:w="1581" w:type="dxa"/>
            <w:shd w:val="clear" w:color="auto" w:fill="auto"/>
          </w:tcPr>
          <w:p w14:paraId="3D8EB142" w14:textId="13ADF47A" w:rsidR="0021463E" w:rsidRPr="00721761" w:rsidRDefault="0021463E" w:rsidP="0021463E">
            <w:pPr>
              <w:spacing w:line="240" w:lineRule="auto"/>
              <w:jc w:val="center"/>
              <w:rPr>
                <w:rFonts w:cs="Arial"/>
                <w:b/>
                <w:sz w:val="22"/>
                <w:szCs w:val="22"/>
              </w:rPr>
            </w:pPr>
            <w:r>
              <w:rPr>
                <w:rFonts w:cs="Arial"/>
                <w:b/>
                <w:sz w:val="22"/>
                <w:szCs w:val="22"/>
              </w:rPr>
              <w:t>DB Fund</w:t>
            </w:r>
          </w:p>
        </w:tc>
        <w:tc>
          <w:tcPr>
            <w:tcW w:w="1581" w:type="dxa"/>
          </w:tcPr>
          <w:p w14:paraId="7580B4D8" w14:textId="57EBDD89" w:rsidR="0021463E" w:rsidRDefault="0021463E" w:rsidP="0021463E">
            <w:pPr>
              <w:spacing w:line="240" w:lineRule="auto"/>
              <w:jc w:val="center"/>
              <w:rPr>
                <w:rFonts w:cs="Arial"/>
                <w:b/>
                <w:sz w:val="22"/>
                <w:szCs w:val="22"/>
              </w:rPr>
            </w:pPr>
            <w:r>
              <w:rPr>
                <w:rFonts w:cs="Arial"/>
                <w:b/>
                <w:sz w:val="22"/>
                <w:szCs w:val="22"/>
              </w:rPr>
              <w:t>DC Fund</w:t>
            </w:r>
          </w:p>
        </w:tc>
      </w:tr>
      <w:tr w:rsidR="0021463E" w:rsidRPr="00721761" w14:paraId="265C7FE3" w14:textId="65A6B64E" w:rsidTr="000F579E">
        <w:tc>
          <w:tcPr>
            <w:tcW w:w="3085" w:type="dxa"/>
            <w:shd w:val="clear" w:color="auto" w:fill="auto"/>
          </w:tcPr>
          <w:p w14:paraId="103B39B4" w14:textId="77777777" w:rsidR="0021463E" w:rsidRPr="00721761" w:rsidRDefault="0021463E" w:rsidP="00721761">
            <w:pPr>
              <w:spacing w:line="240" w:lineRule="auto"/>
              <w:rPr>
                <w:rFonts w:cs="Arial"/>
                <w:sz w:val="22"/>
                <w:szCs w:val="22"/>
                <w:u w:val="single"/>
              </w:rPr>
            </w:pPr>
          </w:p>
        </w:tc>
        <w:tc>
          <w:tcPr>
            <w:tcW w:w="1581" w:type="dxa"/>
            <w:shd w:val="clear" w:color="auto" w:fill="auto"/>
          </w:tcPr>
          <w:p w14:paraId="15C7A047" w14:textId="77777777" w:rsidR="0021463E" w:rsidRPr="00721761" w:rsidRDefault="0021463E" w:rsidP="00721761">
            <w:pPr>
              <w:spacing w:line="240" w:lineRule="auto"/>
              <w:jc w:val="center"/>
              <w:rPr>
                <w:rFonts w:cs="Arial"/>
                <w:sz w:val="22"/>
                <w:szCs w:val="22"/>
              </w:rPr>
            </w:pPr>
            <w:r w:rsidRPr="00721761">
              <w:rPr>
                <w:rFonts w:cs="Arial"/>
                <w:sz w:val="22"/>
                <w:szCs w:val="22"/>
              </w:rPr>
              <w:t>%</w:t>
            </w:r>
          </w:p>
        </w:tc>
        <w:tc>
          <w:tcPr>
            <w:tcW w:w="1581" w:type="dxa"/>
          </w:tcPr>
          <w:p w14:paraId="47ACC7A5" w14:textId="17F1CB26" w:rsidR="0021463E" w:rsidRPr="00721761" w:rsidRDefault="0021463E" w:rsidP="00721761">
            <w:pPr>
              <w:spacing w:line="240" w:lineRule="auto"/>
              <w:jc w:val="center"/>
              <w:rPr>
                <w:rFonts w:cs="Arial"/>
                <w:sz w:val="22"/>
                <w:szCs w:val="22"/>
              </w:rPr>
            </w:pPr>
            <w:r>
              <w:rPr>
                <w:rFonts w:cs="Arial"/>
                <w:sz w:val="22"/>
                <w:szCs w:val="22"/>
              </w:rPr>
              <w:t>%</w:t>
            </w:r>
          </w:p>
        </w:tc>
      </w:tr>
      <w:tr w:rsidR="0021463E" w:rsidRPr="00721761" w14:paraId="64631A1F" w14:textId="4A73E1B4" w:rsidTr="000F579E">
        <w:tc>
          <w:tcPr>
            <w:tcW w:w="3085" w:type="dxa"/>
            <w:shd w:val="clear" w:color="auto" w:fill="auto"/>
          </w:tcPr>
          <w:p w14:paraId="45A2F4DE" w14:textId="77777777" w:rsidR="0021463E" w:rsidRPr="009E0454" w:rsidRDefault="0021463E" w:rsidP="00721761">
            <w:pPr>
              <w:spacing w:line="240" w:lineRule="auto"/>
              <w:rPr>
                <w:rFonts w:cs="Arial"/>
                <w:b/>
                <w:bCs/>
                <w:sz w:val="22"/>
                <w:szCs w:val="22"/>
              </w:rPr>
            </w:pPr>
            <w:r w:rsidRPr="009E0454">
              <w:rPr>
                <w:rFonts w:cs="Arial"/>
                <w:b/>
                <w:bCs/>
                <w:sz w:val="22"/>
                <w:szCs w:val="22"/>
              </w:rPr>
              <w:t>Equities</w:t>
            </w:r>
          </w:p>
        </w:tc>
        <w:tc>
          <w:tcPr>
            <w:tcW w:w="1581" w:type="dxa"/>
            <w:shd w:val="clear" w:color="auto" w:fill="auto"/>
          </w:tcPr>
          <w:p w14:paraId="232F3077" w14:textId="77777777" w:rsidR="0021463E" w:rsidRPr="00721761" w:rsidRDefault="0021463E" w:rsidP="00721761">
            <w:pPr>
              <w:spacing w:line="240" w:lineRule="auto"/>
              <w:jc w:val="center"/>
              <w:rPr>
                <w:rFonts w:cs="Arial"/>
                <w:sz w:val="22"/>
                <w:szCs w:val="22"/>
              </w:rPr>
            </w:pPr>
          </w:p>
        </w:tc>
        <w:tc>
          <w:tcPr>
            <w:tcW w:w="1581" w:type="dxa"/>
          </w:tcPr>
          <w:p w14:paraId="5AA68B48" w14:textId="77777777" w:rsidR="0021463E" w:rsidRPr="00721761" w:rsidRDefault="0021463E" w:rsidP="00721761">
            <w:pPr>
              <w:spacing w:line="240" w:lineRule="auto"/>
              <w:jc w:val="center"/>
              <w:rPr>
                <w:rFonts w:cs="Arial"/>
                <w:sz w:val="22"/>
                <w:szCs w:val="22"/>
              </w:rPr>
            </w:pPr>
          </w:p>
        </w:tc>
      </w:tr>
      <w:tr w:rsidR="0021463E" w:rsidRPr="00721761" w14:paraId="1DD57096" w14:textId="423A41A4" w:rsidTr="000F579E">
        <w:tc>
          <w:tcPr>
            <w:tcW w:w="3085" w:type="dxa"/>
            <w:shd w:val="clear" w:color="auto" w:fill="auto"/>
          </w:tcPr>
          <w:p w14:paraId="48EE0FBF" w14:textId="77777777" w:rsidR="0021463E" w:rsidRPr="00721761" w:rsidRDefault="0021463E" w:rsidP="00721761">
            <w:pPr>
              <w:spacing w:line="240" w:lineRule="auto"/>
              <w:rPr>
                <w:rFonts w:cs="Arial"/>
                <w:sz w:val="22"/>
                <w:szCs w:val="22"/>
              </w:rPr>
            </w:pPr>
            <w:r w:rsidRPr="00721761">
              <w:rPr>
                <w:rFonts w:cs="Arial"/>
                <w:sz w:val="22"/>
                <w:szCs w:val="22"/>
              </w:rPr>
              <w:t xml:space="preserve">North American </w:t>
            </w:r>
          </w:p>
        </w:tc>
        <w:tc>
          <w:tcPr>
            <w:tcW w:w="1581" w:type="dxa"/>
            <w:shd w:val="clear" w:color="auto" w:fill="auto"/>
          </w:tcPr>
          <w:p w14:paraId="5C896430" w14:textId="201BAC88" w:rsidR="0021463E" w:rsidRPr="00721761" w:rsidRDefault="00A6743A" w:rsidP="00721761">
            <w:pPr>
              <w:spacing w:line="240" w:lineRule="auto"/>
              <w:jc w:val="center"/>
              <w:rPr>
                <w:rFonts w:cs="Arial"/>
                <w:sz w:val="22"/>
                <w:szCs w:val="22"/>
              </w:rPr>
            </w:pPr>
            <w:r>
              <w:rPr>
                <w:rFonts w:cs="Arial"/>
                <w:sz w:val="22"/>
                <w:szCs w:val="22"/>
              </w:rPr>
              <w:t>8</w:t>
            </w:r>
          </w:p>
        </w:tc>
        <w:tc>
          <w:tcPr>
            <w:tcW w:w="1581" w:type="dxa"/>
          </w:tcPr>
          <w:p w14:paraId="4FF50D6A" w14:textId="558A5308" w:rsidR="0021463E" w:rsidRDefault="00A6743A" w:rsidP="00721761">
            <w:pPr>
              <w:spacing w:line="240" w:lineRule="auto"/>
              <w:jc w:val="center"/>
              <w:rPr>
                <w:rFonts w:cs="Arial"/>
                <w:sz w:val="22"/>
                <w:szCs w:val="22"/>
              </w:rPr>
            </w:pPr>
            <w:r>
              <w:rPr>
                <w:rFonts w:cs="Arial"/>
                <w:sz w:val="22"/>
                <w:szCs w:val="22"/>
              </w:rPr>
              <w:t>42</w:t>
            </w:r>
          </w:p>
        </w:tc>
      </w:tr>
      <w:tr w:rsidR="0021463E" w:rsidRPr="00721761" w14:paraId="4B65AD46" w14:textId="07107760" w:rsidTr="000F579E">
        <w:tc>
          <w:tcPr>
            <w:tcW w:w="3085" w:type="dxa"/>
            <w:shd w:val="clear" w:color="auto" w:fill="auto"/>
          </w:tcPr>
          <w:p w14:paraId="204CFA98" w14:textId="77777777" w:rsidR="0021463E" w:rsidRPr="00721761" w:rsidRDefault="0021463E" w:rsidP="00721761">
            <w:pPr>
              <w:spacing w:line="240" w:lineRule="auto"/>
              <w:rPr>
                <w:rFonts w:cs="Arial"/>
                <w:sz w:val="22"/>
                <w:szCs w:val="22"/>
              </w:rPr>
            </w:pPr>
            <w:r w:rsidRPr="00721761">
              <w:rPr>
                <w:rFonts w:cs="Arial"/>
                <w:sz w:val="22"/>
                <w:szCs w:val="22"/>
              </w:rPr>
              <w:t>UK</w:t>
            </w:r>
          </w:p>
        </w:tc>
        <w:tc>
          <w:tcPr>
            <w:tcW w:w="1581" w:type="dxa"/>
            <w:shd w:val="clear" w:color="auto" w:fill="auto"/>
          </w:tcPr>
          <w:p w14:paraId="045EFEE8" w14:textId="7D1D1F6F" w:rsidR="0021463E" w:rsidRPr="00721761" w:rsidRDefault="00A6743A" w:rsidP="00721761">
            <w:pPr>
              <w:spacing w:line="240" w:lineRule="auto"/>
              <w:jc w:val="center"/>
              <w:rPr>
                <w:rFonts w:cs="Arial"/>
                <w:sz w:val="22"/>
                <w:szCs w:val="22"/>
              </w:rPr>
            </w:pPr>
            <w:r>
              <w:rPr>
                <w:rFonts w:cs="Arial"/>
                <w:sz w:val="22"/>
                <w:szCs w:val="22"/>
              </w:rPr>
              <w:t>2</w:t>
            </w:r>
          </w:p>
        </w:tc>
        <w:tc>
          <w:tcPr>
            <w:tcW w:w="1581" w:type="dxa"/>
          </w:tcPr>
          <w:p w14:paraId="1DC04584" w14:textId="0A64BC3A" w:rsidR="0021463E" w:rsidRDefault="00A6743A" w:rsidP="00721761">
            <w:pPr>
              <w:spacing w:line="240" w:lineRule="auto"/>
              <w:jc w:val="center"/>
              <w:rPr>
                <w:rFonts w:cs="Arial"/>
                <w:sz w:val="22"/>
                <w:szCs w:val="22"/>
              </w:rPr>
            </w:pPr>
            <w:r>
              <w:rPr>
                <w:rFonts w:cs="Arial"/>
                <w:sz w:val="22"/>
                <w:szCs w:val="22"/>
              </w:rPr>
              <w:t>4</w:t>
            </w:r>
          </w:p>
        </w:tc>
      </w:tr>
      <w:tr w:rsidR="0021463E" w:rsidRPr="00721761" w14:paraId="65E19A43" w14:textId="74378FCC" w:rsidTr="000F579E">
        <w:tc>
          <w:tcPr>
            <w:tcW w:w="3085" w:type="dxa"/>
            <w:shd w:val="clear" w:color="auto" w:fill="auto"/>
          </w:tcPr>
          <w:p w14:paraId="16B5299A" w14:textId="77777777" w:rsidR="0021463E" w:rsidRPr="00721761" w:rsidRDefault="0021463E" w:rsidP="00721761">
            <w:pPr>
              <w:spacing w:line="240" w:lineRule="auto"/>
              <w:rPr>
                <w:rFonts w:cs="Arial"/>
                <w:sz w:val="22"/>
                <w:szCs w:val="22"/>
              </w:rPr>
            </w:pPr>
            <w:r w:rsidRPr="00721761">
              <w:rPr>
                <w:rFonts w:cs="Arial"/>
                <w:sz w:val="22"/>
                <w:szCs w:val="22"/>
              </w:rPr>
              <w:t>European</w:t>
            </w:r>
          </w:p>
        </w:tc>
        <w:tc>
          <w:tcPr>
            <w:tcW w:w="1581" w:type="dxa"/>
            <w:shd w:val="clear" w:color="auto" w:fill="auto"/>
          </w:tcPr>
          <w:p w14:paraId="34C432E7" w14:textId="55F84667" w:rsidR="0021463E" w:rsidRPr="00721761" w:rsidRDefault="00A6743A" w:rsidP="00721761">
            <w:pPr>
              <w:spacing w:line="240" w:lineRule="auto"/>
              <w:jc w:val="center"/>
              <w:rPr>
                <w:rFonts w:cs="Arial"/>
                <w:sz w:val="22"/>
                <w:szCs w:val="22"/>
              </w:rPr>
            </w:pPr>
            <w:r>
              <w:rPr>
                <w:rFonts w:cs="Arial"/>
                <w:sz w:val="22"/>
                <w:szCs w:val="22"/>
              </w:rPr>
              <w:t>5</w:t>
            </w:r>
          </w:p>
        </w:tc>
        <w:tc>
          <w:tcPr>
            <w:tcW w:w="1581" w:type="dxa"/>
          </w:tcPr>
          <w:p w14:paraId="129483D1" w14:textId="103188A8" w:rsidR="0021463E" w:rsidRDefault="00A6743A" w:rsidP="00721761">
            <w:pPr>
              <w:spacing w:line="240" w:lineRule="auto"/>
              <w:jc w:val="center"/>
              <w:rPr>
                <w:rFonts w:cs="Arial"/>
                <w:sz w:val="22"/>
                <w:szCs w:val="22"/>
              </w:rPr>
            </w:pPr>
            <w:r>
              <w:rPr>
                <w:rFonts w:cs="Arial"/>
                <w:sz w:val="22"/>
                <w:szCs w:val="22"/>
              </w:rPr>
              <w:t>15</w:t>
            </w:r>
          </w:p>
        </w:tc>
      </w:tr>
      <w:tr w:rsidR="0021463E" w:rsidRPr="00721761" w14:paraId="4DF30AF6" w14:textId="6691A265" w:rsidTr="000F579E">
        <w:tc>
          <w:tcPr>
            <w:tcW w:w="3085" w:type="dxa"/>
            <w:shd w:val="clear" w:color="auto" w:fill="auto"/>
          </w:tcPr>
          <w:p w14:paraId="1AE7EE15" w14:textId="262BEB05" w:rsidR="0021463E" w:rsidRPr="00721761" w:rsidRDefault="0021463E" w:rsidP="00721761">
            <w:pPr>
              <w:spacing w:line="240" w:lineRule="auto"/>
              <w:rPr>
                <w:rFonts w:cs="Arial"/>
                <w:sz w:val="22"/>
                <w:szCs w:val="22"/>
              </w:rPr>
            </w:pPr>
            <w:r>
              <w:rPr>
                <w:rFonts w:cs="Arial"/>
                <w:sz w:val="22"/>
                <w:szCs w:val="22"/>
              </w:rPr>
              <w:t>Asia &amp; Pacific</w:t>
            </w:r>
          </w:p>
        </w:tc>
        <w:tc>
          <w:tcPr>
            <w:tcW w:w="1581" w:type="dxa"/>
            <w:shd w:val="clear" w:color="auto" w:fill="auto"/>
          </w:tcPr>
          <w:p w14:paraId="480A4B2E" w14:textId="00C56F4D" w:rsidR="0021463E" w:rsidRPr="00721761" w:rsidRDefault="00A6743A" w:rsidP="00721761">
            <w:pPr>
              <w:spacing w:line="240" w:lineRule="auto"/>
              <w:jc w:val="center"/>
              <w:rPr>
                <w:rFonts w:cs="Arial"/>
                <w:sz w:val="22"/>
                <w:szCs w:val="22"/>
              </w:rPr>
            </w:pPr>
            <w:r>
              <w:rPr>
                <w:rFonts w:cs="Arial"/>
                <w:sz w:val="22"/>
                <w:szCs w:val="22"/>
              </w:rPr>
              <w:t>2</w:t>
            </w:r>
          </w:p>
        </w:tc>
        <w:tc>
          <w:tcPr>
            <w:tcW w:w="1581" w:type="dxa"/>
          </w:tcPr>
          <w:p w14:paraId="7C0FE2BE" w14:textId="50008DC5" w:rsidR="0021463E" w:rsidRDefault="00A6743A" w:rsidP="00721761">
            <w:pPr>
              <w:spacing w:line="240" w:lineRule="auto"/>
              <w:jc w:val="center"/>
              <w:rPr>
                <w:rFonts w:cs="Arial"/>
                <w:sz w:val="22"/>
                <w:szCs w:val="22"/>
              </w:rPr>
            </w:pPr>
            <w:r>
              <w:rPr>
                <w:rFonts w:cs="Arial"/>
                <w:sz w:val="22"/>
                <w:szCs w:val="22"/>
              </w:rPr>
              <w:t>17</w:t>
            </w:r>
          </w:p>
        </w:tc>
      </w:tr>
      <w:tr w:rsidR="0021463E" w:rsidRPr="00721761" w14:paraId="3BDDE4AA" w14:textId="087A7C00" w:rsidTr="000F579E">
        <w:tc>
          <w:tcPr>
            <w:tcW w:w="3085" w:type="dxa"/>
            <w:shd w:val="clear" w:color="auto" w:fill="auto"/>
          </w:tcPr>
          <w:p w14:paraId="7FF864BE" w14:textId="77777777" w:rsidR="0021463E" w:rsidRPr="00721761" w:rsidRDefault="0021463E" w:rsidP="00721761">
            <w:pPr>
              <w:spacing w:line="240" w:lineRule="auto"/>
              <w:rPr>
                <w:rFonts w:cs="Arial"/>
                <w:sz w:val="22"/>
                <w:szCs w:val="22"/>
              </w:rPr>
            </w:pPr>
            <w:r w:rsidRPr="00721761">
              <w:rPr>
                <w:rFonts w:cs="Arial"/>
                <w:sz w:val="22"/>
                <w:szCs w:val="22"/>
              </w:rPr>
              <w:t>Other</w:t>
            </w:r>
          </w:p>
        </w:tc>
        <w:tc>
          <w:tcPr>
            <w:tcW w:w="1581" w:type="dxa"/>
            <w:shd w:val="clear" w:color="auto" w:fill="auto"/>
          </w:tcPr>
          <w:p w14:paraId="5A4FA0EF" w14:textId="30B5396A" w:rsidR="0021463E" w:rsidRPr="00721761" w:rsidRDefault="00A6743A" w:rsidP="00721761">
            <w:pPr>
              <w:spacing w:line="240" w:lineRule="auto"/>
              <w:jc w:val="center"/>
              <w:rPr>
                <w:rFonts w:cs="Arial"/>
                <w:sz w:val="22"/>
                <w:szCs w:val="22"/>
              </w:rPr>
            </w:pPr>
            <w:r>
              <w:rPr>
                <w:rFonts w:cs="Arial"/>
                <w:sz w:val="22"/>
                <w:szCs w:val="22"/>
              </w:rPr>
              <w:t>0</w:t>
            </w:r>
          </w:p>
        </w:tc>
        <w:tc>
          <w:tcPr>
            <w:tcW w:w="1581" w:type="dxa"/>
          </w:tcPr>
          <w:p w14:paraId="5DF3D1E8" w14:textId="6645A12A" w:rsidR="0021463E" w:rsidRDefault="00A6743A" w:rsidP="00721761">
            <w:pPr>
              <w:spacing w:line="240" w:lineRule="auto"/>
              <w:jc w:val="center"/>
              <w:rPr>
                <w:rFonts w:cs="Arial"/>
                <w:sz w:val="22"/>
                <w:szCs w:val="22"/>
              </w:rPr>
            </w:pPr>
            <w:r>
              <w:rPr>
                <w:rFonts w:cs="Arial"/>
                <w:sz w:val="22"/>
                <w:szCs w:val="22"/>
              </w:rPr>
              <w:t>3</w:t>
            </w:r>
          </w:p>
        </w:tc>
      </w:tr>
      <w:tr w:rsidR="0021463E" w:rsidRPr="00721761" w14:paraId="36AE1CEC" w14:textId="6DC89D2D" w:rsidTr="000F579E">
        <w:tc>
          <w:tcPr>
            <w:tcW w:w="3085" w:type="dxa"/>
            <w:shd w:val="clear" w:color="auto" w:fill="auto"/>
          </w:tcPr>
          <w:p w14:paraId="4A9A208E" w14:textId="77777777" w:rsidR="0021463E" w:rsidRPr="00721761" w:rsidRDefault="0021463E" w:rsidP="00721761">
            <w:pPr>
              <w:spacing w:line="240" w:lineRule="auto"/>
              <w:rPr>
                <w:rFonts w:cs="Arial"/>
                <w:sz w:val="22"/>
                <w:szCs w:val="22"/>
              </w:rPr>
            </w:pPr>
            <w:r w:rsidRPr="00721761">
              <w:rPr>
                <w:rFonts w:cs="Arial"/>
                <w:sz w:val="22"/>
                <w:szCs w:val="22"/>
              </w:rPr>
              <w:t>Total equities</w:t>
            </w:r>
          </w:p>
        </w:tc>
        <w:tc>
          <w:tcPr>
            <w:tcW w:w="1581" w:type="dxa"/>
            <w:shd w:val="clear" w:color="auto" w:fill="auto"/>
          </w:tcPr>
          <w:p w14:paraId="53351687" w14:textId="0FC6E9D0" w:rsidR="0021463E" w:rsidRPr="00721761" w:rsidRDefault="00A6743A" w:rsidP="00721761">
            <w:pPr>
              <w:spacing w:line="240" w:lineRule="auto"/>
              <w:jc w:val="center"/>
              <w:rPr>
                <w:rFonts w:cs="Arial"/>
                <w:sz w:val="22"/>
                <w:szCs w:val="22"/>
              </w:rPr>
            </w:pPr>
            <w:r>
              <w:rPr>
                <w:rFonts w:cs="Arial"/>
                <w:sz w:val="22"/>
                <w:szCs w:val="22"/>
              </w:rPr>
              <w:t>17</w:t>
            </w:r>
          </w:p>
        </w:tc>
        <w:tc>
          <w:tcPr>
            <w:tcW w:w="1581" w:type="dxa"/>
          </w:tcPr>
          <w:p w14:paraId="4442B6C4" w14:textId="64E2D6CA" w:rsidR="0021463E" w:rsidRDefault="00A6743A" w:rsidP="00721761">
            <w:pPr>
              <w:spacing w:line="240" w:lineRule="auto"/>
              <w:jc w:val="center"/>
              <w:rPr>
                <w:rFonts w:cs="Arial"/>
                <w:sz w:val="22"/>
                <w:szCs w:val="22"/>
              </w:rPr>
            </w:pPr>
            <w:r>
              <w:rPr>
                <w:rFonts w:cs="Arial"/>
                <w:sz w:val="22"/>
                <w:szCs w:val="22"/>
              </w:rPr>
              <w:t>81</w:t>
            </w:r>
          </w:p>
        </w:tc>
      </w:tr>
      <w:tr w:rsidR="0021463E" w:rsidRPr="00721761" w14:paraId="6F8484B2" w14:textId="4E6A5AF0" w:rsidTr="000F579E">
        <w:tc>
          <w:tcPr>
            <w:tcW w:w="3085" w:type="dxa"/>
            <w:shd w:val="clear" w:color="auto" w:fill="auto"/>
          </w:tcPr>
          <w:p w14:paraId="50986871" w14:textId="77777777" w:rsidR="0021463E" w:rsidRPr="00721761" w:rsidRDefault="0021463E" w:rsidP="00721761">
            <w:pPr>
              <w:spacing w:line="240" w:lineRule="auto"/>
              <w:rPr>
                <w:rFonts w:cs="Arial"/>
                <w:sz w:val="22"/>
                <w:szCs w:val="22"/>
              </w:rPr>
            </w:pPr>
          </w:p>
        </w:tc>
        <w:tc>
          <w:tcPr>
            <w:tcW w:w="1581" w:type="dxa"/>
            <w:shd w:val="clear" w:color="auto" w:fill="auto"/>
          </w:tcPr>
          <w:p w14:paraId="437B62A7" w14:textId="77777777" w:rsidR="0021463E" w:rsidRPr="00721761" w:rsidRDefault="0021463E" w:rsidP="00721761">
            <w:pPr>
              <w:spacing w:line="240" w:lineRule="auto"/>
              <w:jc w:val="center"/>
              <w:rPr>
                <w:rFonts w:cs="Arial"/>
                <w:sz w:val="22"/>
                <w:szCs w:val="22"/>
              </w:rPr>
            </w:pPr>
          </w:p>
        </w:tc>
        <w:tc>
          <w:tcPr>
            <w:tcW w:w="1581" w:type="dxa"/>
          </w:tcPr>
          <w:p w14:paraId="612F8BF1" w14:textId="77777777" w:rsidR="0021463E" w:rsidRPr="00721761" w:rsidRDefault="0021463E" w:rsidP="00721761">
            <w:pPr>
              <w:spacing w:line="240" w:lineRule="auto"/>
              <w:jc w:val="center"/>
              <w:rPr>
                <w:rFonts w:cs="Arial"/>
                <w:sz w:val="22"/>
                <w:szCs w:val="22"/>
              </w:rPr>
            </w:pPr>
          </w:p>
        </w:tc>
      </w:tr>
      <w:tr w:rsidR="0021463E" w:rsidRPr="00721761" w14:paraId="2841030A" w14:textId="781885D2" w:rsidTr="000F579E">
        <w:tc>
          <w:tcPr>
            <w:tcW w:w="3085" w:type="dxa"/>
            <w:shd w:val="clear" w:color="auto" w:fill="auto"/>
          </w:tcPr>
          <w:p w14:paraId="49E38D4F" w14:textId="77777777" w:rsidR="0021463E" w:rsidRPr="009E0454" w:rsidRDefault="0021463E" w:rsidP="00721761">
            <w:pPr>
              <w:spacing w:line="240" w:lineRule="auto"/>
              <w:rPr>
                <w:rFonts w:cs="Arial"/>
                <w:b/>
                <w:bCs/>
                <w:sz w:val="22"/>
                <w:szCs w:val="22"/>
              </w:rPr>
            </w:pPr>
            <w:r w:rsidRPr="009E0454">
              <w:rPr>
                <w:rFonts w:cs="Arial"/>
                <w:b/>
                <w:bCs/>
                <w:sz w:val="22"/>
                <w:szCs w:val="22"/>
              </w:rPr>
              <w:t>Cash &amp; fixed interest</w:t>
            </w:r>
          </w:p>
        </w:tc>
        <w:tc>
          <w:tcPr>
            <w:tcW w:w="1581" w:type="dxa"/>
            <w:shd w:val="clear" w:color="auto" w:fill="auto"/>
          </w:tcPr>
          <w:p w14:paraId="1C05DECC" w14:textId="77777777" w:rsidR="0021463E" w:rsidRPr="00721761" w:rsidRDefault="0021463E" w:rsidP="00721761">
            <w:pPr>
              <w:spacing w:line="240" w:lineRule="auto"/>
              <w:jc w:val="center"/>
              <w:rPr>
                <w:rFonts w:cs="Arial"/>
                <w:sz w:val="22"/>
                <w:szCs w:val="22"/>
              </w:rPr>
            </w:pPr>
          </w:p>
        </w:tc>
        <w:tc>
          <w:tcPr>
            <w:tcW w:w="1581" w:type="dxa"/>
          </w:tcPr>
          <w:p w14:paraId="5FD2D15B" w14:textId="77777777" w:rsidR="0021463E" w:rsidRPr="00721761" w:rsidRDefault="0021463E" w:rsidP="00721761">
            <w:pPr>
              <w:spacing w:line="240" w:lineRule="auto"/>
              <w:jc w:val="center"/>
              <w:rPr>
                <w:rFonts w:cs="Arial"/>
                <w:sz w:val="22"/>
                <w:szCs w:val="22"/>
              </w:rPr>
            </w:pPr>
          </w:p>
        </w:tc>
      </w:tr>
      <w:tr w:rsidR="0021463E" w:rsidRPr="00721761" w14:paraId="09740497" w14:textId="35B68ADE" w:rsidTr="000F579E">
        <w:tc>
          <w:tcPr>
            <w:tcW w:w="3085" w:type="dxa"/>
            <w:shd w:val="clear" w:color="auto" w:fill="auto"/>
          </w:tcPr>
          <w:p w14:paraId="611E62AF" w14:textId="77777777" w:rsidR="0021463E" w:rsidRPr="00721761" w:rsidRDefault="0021463E" w:rsidP="00721761">
            <w:pPr>
              <w:spacing w:line="240" w:lineRule="auto"/>
              <w:rPr>
                <w:rFonts w:cs="Arial"/>
                <w:sz w:val="22"/>
                <w:szCs w:val="22"/>
              </w:rPr>
            </w:pPr>
            <w:r w:rsidRPr="00721761">
              <w:rPr>
                <w:rFonts w:cs="Arial"/>
                <w:sz w:val="22"/>
                <w:szCs w:val="22"/>
              </w:rPr>
              <w:t>Global</w:t>
            </w:r>
          </w:p>
        </w:tc>
        <w:tc>
          <w:tcPr>
            <w:tcW w:w="1581" w:type="dxa"/>
            <w:shd w:val="clear" w:color="auto" w:fill="auto"/>
          </w:tcPr>
          <w:p w14:paraId="048550A9" w14:textId="57998964" w:rsidR="0021463E" w:rsidRPr="00721761" w:rsidRDefault="00A6743A" w:rsidP="00721761">
            <w:pPr>
              <w:spacing w:line="240" w:lineRule="auto"/>
              <w:jc w:val="center"/>
              <w:rPr>
                <w:rFonts w:cs="Arial"/>
                <w:sz w:val="22"/>
                <w:szCs w:val="22"/>
              </w:rPr>
            </w:pPr>
            <w:r>
              <w:rPr>
                <w:rFonts w:cs="Arial"/>
                <w:sz w:val="22"/>
                <w:szCs w:val="22"/>
              </w:rPr>
              <w:t>6</w:t>
            </w:r>
            <w:r w:rsidR="00F52E40">
              <w:rPr>
                <w:rFonts w:cs="Arial"/>
                <w:sz w:val="22"/>
                <w:szCs w:val="22"/>
              </w:rPr>
              <w:t>7</w:t>
            </w:r>
          </w:p>
        </w:tc>
        <w:tc>
          <w:tcPr>
            <w:tcW w:w="1581" w:type="dxa"/>
          </w:tcPr>
          <w:p w14:paraId="36FA3553" w14:textId="6B78F5BD" w:rsidR="0021463E" w:rsidRDefault="00A6743A" w:rsidP="00721761">
            <w:pPr>
              <w:spacing w:line="240" w:lineRule="auto"/>
              <w:jc w:val="center"/>
              <w:rPr>
                <w:rFonts w:cs="Arial"/>
                <w:sz w:val="22"/>
                <w:szCs w:val="22"/>
              </w:rPr>
            </w:pPr>
            <w:r>
              <w:rPr>
                <w:rFonts w:cs="Arial"/>
                <w:sz w:val="22"/>
                <w:szCs w:val="22"/>
              </w:rPr>
              <w:t>11</w:t>
            </w:r>
          </w:p>
        </w:tc>
      </w:tr>
      <w:tr w:rsidR="0021463E" w:rsidRPr="00721761" w14:paraId="07BB2049" w14:textId="37DC805A" w:rsidTr="000F579E">
        <w:tc>
          <w:tcPr>
            <w:tcW w:w="3085" w:type="dxa"/>
            <w:shd w:val="clear" w:color="auto" w:fill="auto"/>
          </w:tcPr>
          <w:p w14:paraId="42E0DA3D" w14:textId="77777777" w:rsidR="0021463E" w:rsidRPr="00721761" w:rsidRDefault="0021463E" w:rsidP="00721761">
            <w:pPr>
              <w:spacing w:line="240" w:lineRule="auto"/>
              <w:rPr>
                <w:rFonts w:cs="Arial"/>
                <w:sz w:val="22"/>
                <w:szCs w:val="22"/>
              </w:rPr>
            </w:pPr>
            <w:r w:rsidRPr="00721761">
              <w:rPr>
                <w:rFonts w:cs="Arial"/>
                <w:sz w:val="22"/>
                <w:szCs w:val="22"/>
              </w:rPr>
              <w:t>UK</w:t>
            </w:r>
          </w:p>
        </w:tc>
        <w:tc>
          <w:tcPr>
            <w:tcW w:w="1581" w:type="dxa"/>
            <w:shd w:val="clear" w:color="auto" w:fill="auto"/>
          </w:tcPr>
          <w:p w14:paraId="6F616DB8" w14:textId="51E1C5D3" w:rsidR="0021463E" w:rsidRPr="00721761" w:rsidRDefault="00A6743A" w:rsidP="00721761">
            <w:pPr>
              <w:spacing w:line="240" w:lineRule="auto"/>
              <w:jc w:val="center"/>
              <w:rPr>
                <w:rFonts w:cs="Arial"/>
                <w:sz w:val="22"/>
                <w:szCs w:val="22"/>
              </w:rPr>
            </w:pPr>
            <w:r>
              <w:rPr>
                <w:rFonts w:cs="Arial"/>
                <w:sz w:val="22"/>
                <w:szCs w:val="22"/>
              </w:rPr>
              <w:t>1</w:t>
            </w:r>
            <w:r w:rsidR="00F52E40">
              <w:rPr>
                <w:rFonts w:cs="Arial"/>
                <w:sz w:val="22"/>
                <w:szCs w:val="22"/>
              </w:rPr>
              <w:t>2</w:t>
            </w:r>
          </w:p>
        </w:tc>
        <w:tc>
          <w:tcPr>
            <w:tcW w:w="1581" w:type="dxa"/>
          </w:tcPr>
          <w:p w14:paraId="2134D650" w14:textId="55CC1CC5" w:rsidR="0021463E" w:rsidRDefault="00A6743A" w:rsidP="00721761">
            <w:pPr>
              <w:spacing w:line="240" w:lineRule="auto"/>
              <w:jc w:val="center"/>
              <w:rPr>
                <w:rFonts w:cs="Arial"/>
                <w:sz w:val="22"/>
                <w:szCs w:val="22"/>
              </w:rPr>
            </w:pPr>
            <w:r>
              <w:rPr>
                <w:rFonts w:cs="Arial"/>
                <w:sz w:val="22"/>
                <w:szCs w:val="22"/>
              </w:rPr>
              <w:t>1</w:t>
            </w:r>
          </w:p>
        </w:tc>
      </w:tr>
      <w:tr w:rsidR="0021463E" w:rsidRPr="00721761" w14:paraId="1CAF328B" w14:textId="030E77D5" w:rsidTr="000F579E">
        <w:tc>
          <w:tcPr>
            <w:tcW w:w="3085" w:type="dxa"/>
            <w:shd w:val="clear" w:color="auto" w:fill="auto"/>
          </w:tcPr>
          <w:p w14:paraId="30D24E7D" w14:textId="77777777" w:rsidR="0021463E" w:rsidRPr="00721761" w:rsidRDefault="0021463E" w:rsidP="00721761">
            <w:pPr>
              <w:spacing w:line="240" w:lineRule="auto"/>
              <w:rPr>
                <w:rFonts w:cs="Arial"/>
                <w:sz w:val="22"/>
                <w:szCs w:val="22"/>
              </w:rPr>
            </w:pPr>
            <w:r w:rsidRPr="00721761">
              <w:rPr>
                <w:rFonts w:cs="Arial"/>
                <w:sz w:val="22"/>
                <w:szCs w:val="22"/>
              </w:rPr>
              <w:t>Money Market</w:t>
            </w:r>
          </w:p>
        </w:tc>
        <w:tc>
          <w:tcPr>
            <w:tcW w:w="1581" w:type="dxa"/>
            <w:shd w:val="clear" w:color="auto" w:fill="auto"/>
          </w:tcPr>
          <w:p w14:paraId="5C50A3F7" w14:textId="498311C2" w:rsidR="0021463E" w:rsidRPr="00721761" w:rsidRDefault="00A6743A" w:rsidP="00721761">
            <w:pPr>
              <w:spacing w:line="240" w:lineRule="auto"/>
              <w:jc w:val="center"/>
              <w:rPr>
                <w:rFonts w:cs="Arial"/>
                <w:sz w:val="22"/>
                <w:szCs w:val="22"/>
              </w:rPr>
            </w:pPr>
            <w:r>
              <w:rPr>
                <w:rFonts w:cs="Arial"/>
                <w:sz w:val="22"/>
                <w:szCs w:val="22"/>
              </w:rPr>
              <w:t>3</w:t>
            </w:r>
          </w:p>
        </w:tc>
        <w:tc>
          <w:tcPr>
            <w:tcW w:w="1581" w:type="dxa"/>
          </w:tcPr>
          <w:p w14:paraId="5D17E5C4" w14:textId="279CBF8C" w:rsidR="0021463E" w:rsidRDefault="00A6743A" w:rsidP="00721761">
            <w:pPr>
              <w:spacing w:line="240" w:lineRule="auto"/>
              <w:jc w:val="center"/>
              <w:rPr>
                <w:rFonts w:cs="Arial"/>
                <w:sz w:val="22"/>
                <w:szCs w:val="22"/>
              </w:rPr>
            </w:pPr>
            <w:r>
              <w:rPr>
                <w:rFonts w:cs="Arial"/>
                <w:sz w:val="22"/>
                <w:szCs w:val="22"/>
              </w:rPr>
              <w:t>3</w:t>
            </w:r>
          </w:p>
        </w:tc>
      </w:tr>
      <w:tr w:rsidR="0021463E" w:rsidRPr="00721761" w14:paraId="2B91C2BF" w14:textId="78D683AB" w:rsidTr="000F579E">
        <w:tc>
          <w:tcPr>
            <w:tcW w:w="3085" w:type="dxa"/>
            <w:shd w:val="clear" w:color="auto" w:fill="auto"/>
          </w:tcPr>
          <w:p w14:paraId="0832C2FC" w14:textId="77777777" w:rsidR="0021463E" w:rsidRPr="00721761" w:rsidRDefault="0021463E" w:rsidP="00721761">
            <w:pPr>
              <w:spacing w:line="240" w:lineRule="auto"/>
              <w:rPr>
                <w:rFonts w:cs="Arial"/>
                <w:sz w:val="22"/>
                <w:szCs w:val="22"/>
              </w:rPr>
            </w:pPr>
            <w:r w:rsidRPr="00721761">
              <w:rPr>
                <w:rFonts w:cs="Arial"/>
                <w:sz w:val="22"/>
                <w:szCs w:val="22"/>
              </w:rPr>
              <w:t>Total cash &amp; fixed interest</w:t>
            </w:r>
          </w:p>
        </w:tc>
        <w:tc>
          <w:tcPr>
            <w:tcW w:w="1581" w:type="dxa"/>
            <w:shd w:val="clear" w:color="auto" w:fill="auto"/>
          </w:tcPr>
          <w:p w14:paraId="631B5B7D" w14:textId="3C887BDB" w:rsidR="0021463E" w:rsidRPr="00721761" w:rsidRDefault="00A6743A" w:rsidP="00721761">
            <w:pPr>
              <w:spacing w:line="240" w:lineRule="auto"/>
              <w:jc w:val="center"/>
              <w:rPr>
                <w:rFonts w:cs="Arial"/>
                <w:sz w:val="22"/>
                <w:szCs w:val="22"/>
              </w:rPr>
            </w:pPr>
            <w:r>
              <w:rPr>
                <w:rFonts w:cs="Arial"/>
                <w:sz w:val="22"/>
                <w:szCs w:val="22"/>
              </w:rPr>
              <w:t>8</w:t>
            </w:r>
            <w:r w:rsidR="00F52E40">
              <w:rPr>
                <w:rFonts w:cs="Arial"/>
                <w:sz w:val="22"/>
                <w:szCs w:val="22"/>
              </w:rPr>
              <w:t>2</w:t>
            </w:r>
          </w:p>
        </w:tc>
        <w:tc>
          <w:tcPr>
            <w:tcW w:w="1581" w:type="dxa"/>
          </w:tcPr>
          <w:p w14:paraId="58862471" w14:textId="31781AD1" w:rsidR="0021463E" w:rsidRDefault="00A6743A" w:rsidP="00721761">
            <w:pPr>
              <w:spacing w:line="240" w:lineRule="auto"/>
              <w:jc w:val="center"/>
              <w:rPr>
                <w:rFonts w:cs="Arial"/>
                <w:sz w:val="22"/>
                <w:szCs w:val="22"/>
              </w:rPr>
            </w:pPr>
            <w:r>
              <w:rPr>
                <w:rFonts w:cs="Arial"/>
                <w:sz w:val="22"/>
                <w:szCs w:val="22"/>
              </w:rPr>
              <w:t>15</w:t>
            </w:r>
          </w:p>
        </w:tc>
      </w:tr>
      <w:tr w:rsidR="0021463E" w:rsidRPr="00721761" w14:paraId="25E4632E" w14:textId="2D30DD7E" w:rsidTr="000F579E">
        <w:tc>
          <w:tcPr>
            <w:tcW w:w="3085" w:type="dxa"/>
            <w:shd w:val="clear" w:color="auto" w:fill="auto"/>
          </w:tcPr>
          <w:p w14:paraId="11E8E84A" w14:textId="77777777" w:rsidR="0021463E" w:rsidRPr="00721761" w:rsidRDefault="0021463E" w:rsidP="00721761">
            <w:pPr>
              <w:spacing w:line="240" w:lineRule="auto"/>
              <w:rPr>
                <w:rFonts w:cs="Arial"/>
                <w:sz w:val="22"/>
                <w:szCs w:val="22"/>
              </w:rPr>
            </w:pPr>
          </w:p>
        </w:tc>
        <w:tc>
          <w:tcPr>
            <w:tcW w:w="1581" w:type="dxa"/>
            <w:shd w:val="clear" w:color="auto" w:fill="auto"/>
          </w:tcPr>
          <w:p w14:paraId="7D078E20" w14:textId="77777777" w:rsidR="0021463E" w:rsidRPr="00721761" w:rsidRDefault="0021463E" w:rsidP="00721761">
            <w:pPr>
              <w:spacing w:line="240" w:lineRule="auto"/>
              <w:jc w:val="center"/>
              <w:rPr>
                <w:rFonts w:cs="Arial"/>
                <w:sz w:val="22"/>
                <w:szCs w:val="22"/>
              </w:rPr>
            </w:pPr>
          </w:p>
        </w:tc>
        <w:tc>
          <w:tcPr>
            <w:tcW w:w="1581" w:type="dxa"/>
          </w:tcPr>
          <w:p w14:paraId="46ADE777" w14:textId="77777777" w:rsidR="0021463E" w:rsidRPr="00721761" w:rsidRDefault="0021463E" w:rsidP="00721761">
            <w:pPr>
              <w:spacing w:line="240" w:lineRule="auto"/>
              <w:jc w:val="center"/>
              <w:rPr>
                <w:rFonts w:cs="Arial"/>
                <w:sz w:val="22"/>
                <w:szCs w:val="22"/>
              </w:rPr>
            </w:pPr>
          </w:p>
        </w:tc>
      </w:tr>
      <w:tr w:rsidR="0021463E" w:rsidRPr="00721761" w14:paraId="198BC1F5" w14:textId="18959F04" w:rsidTr="000F579E">
        <w:tc>
          <w:tcPr>
            <w:tcW w:w="3085" w:type="dxa"/>
            <w:shd w:val="clear" w:color="auto" w:fill="auto"/>
          </w:tcPr>
          <w:p w14:paraId="45BD916F" w14:textId="77777777" w:rsidR="0021463E" w:rsidRPr="009E0454" w:rsidRDefault="0021463E" w:rsidP="00721761">
            <w:pPr>
              <w:spacing w:line="240" w:lineRule="auto"/>
              <w:rPr>
                <w:rFonts w:cs="Arial"/>
                <w:b/>
                <w:bCs/>
                <w:sz w:val="22"/>
                <w:szCs w:val="22"/>
              </w:rPr>
            </w:pPr>
            <w:r w:rsidRPr="009E0454">
              <w:rPr>
                <w:rFonts w:cs="Arial"/>
                <w:b/>
                <w:bCs/>
                <w:sz w:val="22"/>
                <w:szCs w:val="22"/>
              </w:rPr>
              <w:t>Other</w:t>
            </w:r>
          </w:p>
        </w:tc>
        <w:tc>
          <w:tcPr>
            <w:tcW w:w="1581" w:type="dxa"/>
            <w:shd w:val="clear" w:color="auto" w:fill="auto"/>
          </w:tcPr>
          <w:p w14:paraId="723FED9E" w14:textId="04E194D7" w:rsidR="0021463E" w:rsidRPr="00721761" w:rsidRDefault="0021463E" w:rsidP="00721761">
            <w:pPr>
              <w:spacing w:line="240" w:lineRule="auto"/>
              <w:jc w:val="center"/>
              <w:rPr>
                <w:rFonts w:cs="Arial"/>
                <w:sz w:val="22"/>
                <w:szCs w:val="22"/>
              </w:rPr>
            </w:pPr>
          </w:p>
        </w:tc>
        <w:tc>
          <w:tcPr>
            <w:tcW w:w="1581" w:type="dxa"/>
          </w:tcPr>
          <w:p w14:paraId="3F022DAD" w14:textId="77777777" w:rsidR="0021463E" w:rsidRPr="00721761" w:rsidRDefault="0021463E" w:rsidP="00721761">
            <w:pPr>
              <w:spacing w:line="240" w:lineRule="auto"/>
              <w:jc w:val="center"/>
              <w:rPr>
                <w:rFonts w:cs="Arial"/>
                <w:sz w:val="22"/>
                <w:szCs w:val="22"/>
              </w:rPr>
            </w:pPr>
          </w:p>
        </w:tc>
      </w:tr>
      <w:tr w:rsidR="0021463E" w:rsidRPr="00721761" w14:paraId="3E248CBF" w14:textId="519F1BCA" w:rsidTr="000F579E">
        <w:tc>
          <w:tcPr>
            <w:tcW w:w="3085" w:type="dxa"/>
            <w:shd w:val="clear" w:color="auto" w:fill="auto"/>
          </w:tcPr>
          <w:p w14:paraId="219C9BB6" w14:textId="77777777" w:rsidR="0021463E" w:rsidRPr="00721761" w:rsidRDefault="0021463E" w:rsidP="00721761">
            <w:pPr>
              <w:spacing w:line="240" w:lineRule="auto"/>
              <w:rPr>
                <w:rFonts w:cs="Arial"/>
                <w:sz w:val="22"/>
                <w:szCs w:val="22"/>
              </w:rPr>
            </w:pPr>
            <w:r w:rsidRPr="00721761">
              <w:rPr>
                <w:rFonts w:cs="Arial"/>
                <w:sz w:val="22"/>
                <w:szCs w:val="22"/>
              </w:rPr>
              <w:t>Property</w:t>
            </w:r>
          </w:p>
        </w:tc>
        <w:tc>
          <w:tcPr>
            <w:tcW w:w="1581" w:type="dxa"/>
            <w:shd w:val="clear" w:color="auto" w:fill="auto"/>
          </w:tcPr>
          <w:p w14:paraId="30F18FC0" w14:textId="07519EA9" w:rsidR="0021463E" w:rsidRPr="00721761" w:rsidRDefault="00A6743A" w:rsidP="00721761">
            <w:pPr>
              <w:spacing w:line="240" w:lineRule="auto"/>
              <w:jc w:val="center"/>
              <w:rPr>
                <w:rFonts w:cs="Arial"/>
                <w:sz w:val="22"/>
                <w:szCs w:val="22"/>
              </w:rPr>
            </w:pPr>
            <w:r>
              <w:rPr>
                <w:rFonts w:cs="Arial"/>
                <w:sz w:val="22"/>
                <w:szCs w:val="22"/>
              </w:rPr>
              <w:t>0</w:t>
            </w:r>
          </w:p>
        </w:tc>
        <w:tc>
          <w:tcPr>
            <w:tcW w:w="1581" w:type="dxa"/>
          </w:tcPr>
          <w:p w14:paraId="5FF9FB55" w14:textId="57100AC2" w:rsidR="0021463E" w:rsidRDefault="00A6743A" w:rsidP="00721761">
            <w:pPr>
              <w:spacing w:line="240" w:lineRule="auto"/>
              <w:jc w:val="center"/>
              <w:rPr>
                <w:rFonts w:cs="Arial"/>
                <w:sz w:val="22"/>
                <w:szCs w:val="22"/>
              </w:rPr>
            </w:pPr>
            <w:r>
              <w:rPr>
                <w:rFonts w:cs="Arial"/>
                <w:sz w:val="22"/>
                <w:szCs w:val="22"/>
              </w:rPr>
              <w:t>0</w:t>
            </w:r>
          </w:p>
        </w:tc>
      </w:tr>
      <w:tr w:rsidR="0021463E" w:rsidRPr="00721761" w14:paraId="2B582C19" w14:textId="142BDBC0" w:rsidTr="000F579E">
        <w:tc>
          <w:tcPr>
            <w:tcW w:w="3085" w:type="dxa"/>
            <w:shd w:val="clear" w:color="auto" w:fill="auto"/>
          </w:tcPr>
          <w:p w14:paraId="1B38469E" w14:textId="1FB3EF8A" w:rsidR="0021463E" w:rsidRPr="00721761" w:rsidRDefault="0021463E" w:rsidP="00721761">
            <w:pPr>
              <w:spacing w:line="240" w:lineRule="auto"/>
              <w:rPr>
                <w:rFonts w:cs="Arial"/>
                <w:sz w:val="22"/>
                <w:szCs w:val="22"/>
              </w:rPr>
            </w:pPr>
            <w:r>
              <w:rPr>
                <w:rFonts w:cs="Arial"/>
                <w:sz w:val="22"/>
                <w:szCs w:val="22"/>
              </w:rPr>
              <w:t>Alternatives</w:t>
            </w:r>
          </w:p>
        </w:tc>
        <w:tc>
          <w:tcPr>
            <w:tcW w:w="1581" w:type="dxa"/>
            <w:shd w:val="clear" w:color="auto" w:fill="auto"/>
          </w:tcPr>
          <w:p w14:paraId="54891E31" w14:textId="7E8D58F7" w:rsidR="0021463E" w:rsidRPr="00721761" w:rsidRDefault="00A6743A" w:rsidP="00721761">
            <w:pPr>
              <w:spacing w:line="240" w:lineRule="auto"/>
              <w:jc w:val="center"/>
              <w:rPr>
                <w:rFonts w:cs="Arial"/>
                <w:sz w:val="22"/>
                <w:szCs w:val="22"/>
              </w:rPr>
            </w:pPr>
            <w:r>
              <w:rPr>
                <w:rFonts w:cs="Arial"/>
                <w:sz w:val="22"/>
                <w:szCs w:val="22"/>
              </w:rPr>
              <w:t>1</w:t>
            </w:r>
          </w:p>
        </w:tc>
        <w:tc>
          <w:tcPr>
            <w:tcW w:w="1581" w:type="dxa"/>
          </w:tcPr>
          <w:p w14:paraId="719A0F7E" w14:textId="14A5BE7C" w:rsidR="0021463E" w:rsidRDefault="00A6743A" w:rsidP="00721761">
            <w:pPr>
              <w:spacing w:line="240" w:lineRule="auto"/>
              <w:jc w:val="center"/>
              <w:rPr>
                <w:rFonts w:cs="Arial"/>
                <w:sz w:val="22"/>
                <w:szCs w:val="22"/>
              </w:rPr>
            </w:pPr>
            <w:r>
              <w:rPr>
                <w:rFonts w:cs="Arial"/>
                <w:sz w:val="22"/>
                <w:szCs w:val="22"/>
              </w:rPr>
              <w:t>4</w:t>
            </w:r>
          </w:p>
        </w:tc>
      </w:tr>
      <w:tr w:rsidR="0021463E" w:rsidRPr="00721761" w14:paraId="76587512" w14:textId="3E513E33" w:rsidTr="000F579E">
        <w:tc>
          <w:tcPr>
            <w:tcW w:w="3085" w:type="dxa"/>
            <w:shd w:val="clear" w:color="auto" w:fill="auto"/>
          </w:tcPr>
          <w:p w14:paraId="70A07CF1" w14:textId="77777777" w:rsidR="0021463E" w:rsidRPr="00721761" w:rsidRDefault="0021463E" w:rsidP="00721761">
            <w:pPr>
              <w:spacing w:line="240" w:lineRule="auto"/>
              <w:rPr>
                <w:rFonts w:cs="Arial"/>
                <w:sz w:val="22"/>
                <w:szCs w:val="22"/>
              </w:rPr>
            </w:pPr>
            <w:r w:rsidRPr="00721761">
              <w:rPr>
                <w:rFonts w:cs="Arial"/>
                <w:sz w:val="22"/>
                <w:szCs w:val="22"/>
              </w:rPr>
              <w:t>Total other</w:t>
            </w:r>
          </w:p>
        </w:tc>
        <w:tc>
          <w:tcPr>
            <w:tcW w:w="1581" w:type="dxa"/>
            <w:shd w:val="clear" w:color="auto" w:fill="auto"/>
          </w:tcPr>
          <w:p w14:paraId="2CCE0311" w14:textId="4136A58D" w:rsidR="00A6743A" w:rsidRPr="00721761" w:rsidRDefault="00A6743A" w:rsidP="00A6743A">
            <w:pPr>
              <w:spacing w:line="240" w:lineRule="auto"/>
              <w:jc w:val="center"/>
              <w:rPr>
                <w:rFonts w:cs="Arial"/>
                <w:sz w:val="22"/>
                <w:szCs w:val="22"/>
              </w:rPr>
            </w:pPr>
            <w:r>
              <w:rPr>
                <w:rFonts w:cs="Arial"/>
                <w:sz w:val="22"/>
                <w:szCs w:val="22"/>
              </w:rPr>
              <w:t>1</w:t>
            </w:r>
          </w:p>
        </w:tc>
        <w:tc>
          <w:tcPr>
            <w:tcW w:w="1581" w:type="dxa"/>
          </w:tcPr>
          <w:p w14:paraId="4DCBF3E2" w14:textId="28727BE9" w:rsidR="0021463E" w:rsidRDefault="00A6743A" w:rsidP="00721761">
            <w:pPr>
              <w:spacing w:line="240" w:lineRule="auto"/>
              <w:jc w:val="center"/>
              <w:rPr>
                <w:rFonts w:cs="Arial"/>
                <w:sz w:val="22"/>
                <w:szCs w:val="22"/>
              </w:rPr>
            </w:pPr>
            <w:r>
              <w:rPr>
                <w:rFonts w:cs="Arial"/>
                <w:sz w:val="22"/>
                <w:szCs w:val="22"/>
              </w:rPr>
              <w:t>4</w:t>
            </w:r>
          </w:p>
        </w:tc>
      </w:tr>
      <w:tr w:rsidR="0021463E" w:rsidRPr="00721761" w14:paraId="6B76ED9F" w14:textId="2457F846" w:rsidTr="000F579E">
        <w:tc>
          <w:tcPr>
            <w:tcW w:w="3085" w:type="dxa"/>
            <w:shd w:val="clear" w:color="auto" w:fill="auto"/>
          </w:tcPr>
          <w:p w14:paraId="3A9021D6" w14:textId="77777777" w:rsidR="0021463E" w:rsidRPr="00721761" w:rsidRDefault="0021463E" w:rsidP="00721761">
            <w:pPr>
              <w:spacing w:line="240" w:lineRule="auto"/>
              <w:rPr>
                <w:rFonts w:cs="Arial"/>
                <w:sz w:val="22"/>
                <w:szCs w:val="22"/>
              </w:rPr>
            </w:pPr>
          </w:p>
        </w:tc>
        <w:tc>
          <w:tcPr>
            <w:tcW w:w="1581" w:type="dxa"/>
            <w:shd w:val="clear" w:color="auto" w:fill="auto"/>
          </w:tcPr>
          <w:p w14:paraId="1CC5CDDA" w14:textId="77777777" w:rsidR="0021463E" w:rsidRPr="00721761" w:rsidRDefault="0021463E" w:rsidP="00721761">
            <w:pPr>
              <w:spacing w:line="240" w:lineRule="auto"/>
              <w:jc w:val="center"/>
              <w:rPr>
                <w:rFonts w:cs="Arial"/>
                <w:sz w:val="22"/>
                <w:szCs w:val="22"/>
              </w:rPr>
            </w:pPr>
          </w:p>
        </w:tc>
        <w:tc>
          <w:tcPr>
            <w:tcW w:w="1581" w:type="dxa"/>
          </w:tcPr>
          <w:p w14:paraId="5DDC60BB" w14:textId="77777777" w:rsidR="0021463E" w:rsidRPr="00721761" w:rsidRDefault="0021463E" w:rsidP="00721761">
            <w:pPr>
              <w:spacing w:line="240" w:lineRule="auto"/>
              <w:jc w:val="center"/>
              <w:rPr>
                <w:rFonts w:cs="Arial"/>
                <w:sz w:val="22"/>
                <w:szCs w:val="22"/>
              </w:rPr>
            </w:pPr>
          </w:p>
        </w:tc>
      </w:tr>
      <w:tr w:rsidR="0021463E" w:rsidRPr="00721761" w14:paraId="440892C5" w14:textId="6A77D4D3" w:rsidTr="000F579E">
        <w:tc>
          <w:tcPr>
            <w:tcW w:w="3085" w:type="dxa"/>
            <w:shd w:val="clear" w:color="auto" w:fill="auto"/>
          </w:tcPr>
          <w:p w14:paraId="4C86ED43" w14:textId="77777777" w:rsidR="0021463E" w:rsidRPr="009E0454" w:rsidRDefault="0021463E" w:rsidP="00721761">
            <w:pPr>
              <w:spacing w:line="240" w:lineRule="auto"/>
              <w:rPr>
                <w:rFonts w:cs="Arial"/>
                <w:b/>
                <w:bCs/>
                <w:sz w:val="22"/>
                <w:szCs w:val="22"/>
              </w:rPr>
            </w:pPr>
            <w:r w:rsidRPr="009E0454">
              <w:rPr>
                <w:rFonts w:cs="Arial"/>
                <w:b/>
                <w:bCs/>
                <w:sz w:val="22"/>
                <w:szCs w:val="22"/>
              </w:rPr>
              <w:t>Total</w:t>
            </w:r>
          </w:p>
        </w:tc>
        <w:tc>
          <w:tcPr>
            <w:tcW w:w="1581" w:type="dxa"/>
            <w:shd w:val="clear" w:color="auto" w:fill="auto"/>
          </w:tcPr>
          <w:p w14:paraId="1CFD7F47" w14:textId="77777777" w:rsidR="0021463E" w:rsidRPr="00721761" w:rsidRDefault="0021463E" w:rsidP="00721761">
            <w:pPr>
              <w:spacing w:line="240" w:lineRule="auto"/>
              <w:jc w:val="center"/>
              <w:rPr>
                <w:rFonts w:cs="Arial"/>
                <w:sz w:val="22"/>
                <w:szCs w:val="22"/>
              </w:rPr>
            </w:pPr>
            <w:r w:rsidRPr="00721761">
              <w:rPr>
                <w:rFonts w:cs="Arial"/>
                <w:sz w:val="22"/>
                <w:szCs w:val="22"/>
              </w:rPr>
              <w:t>100</w:t>
            </w:r>
          </w:p>
        </w:tc>
        <w:tc>
          <w:tcPr>
            <w:tcW w:w="1581" w:type="dxa"/>
          </w:tcPr>
          <w:p w14:paraId="122C9C44" w14:textId="07D54F22" w:rsidR="0021463E" w:rsidRPr="00721761" w:rsidRDefault="0021463E" w:rsidP="00721761">
            <w:pPr>
              <w:spacing w:line="240" w:lineRule="auto"/>
              <w:jc w:val="center"/>
              <w:rPr>
                <w:rFonts w:cs="Arial"/>
                <w:sz w:val="22"/>
                <w:szCs w:val="22"/>
              </w:rPr>
            </w:pPr>
            <w:r>
              <w:rPr>
                <w:rFonts w:cs="Arial"/>
                <w:sz w:val="22"/>
                <w:szCs w:val="22"/>
              </w:rPr>
              <w:t>100</w:t>
            </w:r>
          </w:p>
        </w:tc>
      </w:tr>
    </w:tbl>
    <w:p w14:paraId="17F37074" w14:textId="77777777" w:rsidR="0062527A" w:rsidRDefault="0062527A" w:rsidP="0062527A">
      <w:pPr>
        <w:pStyle w:val="Heading1"/>
        <w:spacing w:before="0" w:after="0" w:line="240" w:lineRule="auto"/>
        <w:rPr>
          <w:bCs w:val="0"/>
          <w:color w:val="auto"/>
          <w:spacing w:val="0"/>
          <w:kern w:val="0"/>
          <w:sz w:val="22"/>
          <w:szCs w:val="22"/>
        </w:rPr>
      </w:pPr>
    </w:p>
    <w:p w14:paraId="593924C6" w14:textId="59A4AB62" w:rsidR="000434E5" w:rsidRDefault="00D550AB" w:rsidP="007E2B2D">
      <w:pPr>
        <w:pStyle w:val="Heading1"/>
        <w:spacing w:before="0" w:after="0" w:line="240" w:lineRule="auto"/>
        <w:rPr>
          <w:rFonts w:cs="Times New Roman"/>
          <w:bCs w:val="0"/>
          <w:color w:val="auto"/>
          <w:spacing w:val="0"/>
          <w:kern w:val="0"/>
          <w:sz w:val="22"/>
          <w:szCs w:val="22"/>
        </w:rPr>
      </w:pPr>
      <w:r>
        <w:rPr>
          <w:bCs w:val="0"/>
          <w:color w:val="auto"/>
          <w:spacing w:val="0"/>
          <w:kern w:val="0"/>
          <w:sz w:val="22"/>
          <w:szCs w:val="22"/>
        </w:rPr>
        <w:t>The</w:t>
      </w:r>
      <w:r w:rsidR="009E0454">
        <w:rPr>
          <w:bCs w:val="0"/>
          <w:color w:val="auto"/>
          <w:spacing w:val="0"/>
          <w:kern w:val="0"/>
          <w:sz w:val="22"/>
          <w:szCs w:val="22"/>
        </w:rPr>
        <w:t xml:space="preserve"> </w:t>
      </w:r>
      <w:r w:rsidR="002E1700">
        <w:rPr>
          <w:bCs w:val="0"/>
          <w:color w:val="auto"/>
          <w:spacing w:val="0"/>
          <w:kern w:val="0"/>
          <w:sz w:val="22"/>
          <w:szCs w:val="22"/>
        </w:rPr>
        <w:t xml:space="preserve">funds managed by St </w:t>
      </w:r>
      <w:r w:rsidR="002E1700" w:rsidRPr="002E1700">
        <w:rPr>
          <w:color w:val="auto"/>
          <w:sz w:val="22"/>
          <w:szCs w:val="22"/>
        </w:rPr>
        <w:t>James’s Place Wealth Management</w:t>
      </w:r>
      <w:r w:rsidR="002E1700" w:rsidRPr="002E1700">
        <w:rPr>
          <w:bCs w:val="0"/>
          <w:color w:val="auto"/>
          <w:spacing w:val="0"/>
          <w:kern w:val="0"/>
          <w:sz w:val="22"/>
          <w:szCs w:val="22"/>
        </w:rPr>
        <w:t xml:space="preserve"> that </w:t>
      </w:r>
      <w:r w:rsidR="002E1700">
        <w:rPr>
          <w:bCs w:val="0"/>
          <w:color w:val="auto"/>
          <w:spacing w:val="0"/>
          <w:kern w:val="0"/>
          <w:sz w:val="22"/>
          <w:szCs w:val="22"/>
        </w:rPr>
        <w:t>the Scheme is invested in are shown below</w:t>
      </w:r>
      <w:r>
        <w:rPr>
          <w:bCs w:val="0"/>
          <w:color w:val="auto"/>
          <w:spacing w:val="0"/>
          <w:kern w:val="0"/>
          <w:sz w:val="22"/>
          <w:szCs w:val="22"/>
        </w:rPr>
        <w:t>:</w:t>
      </w:r>
    </w:p>
    <w:p w14:paraId="0044B4E6" w14:textId="77777777" w:rsidR="000434E5" w:rsidRDefault="000434E5" w:rsidP="0086392B">
      <w:pPr>
        <w:pStyle w:val="Heading1"/>
        <w:spacing w:before="0" w:after="0" w:line="240" w:lineRule="auto"/>
        <w:rPr>
          <w:rFonts w:cs="Times New Roman"/>
          <w:bCs w:val="0"/>
          <w:color w:val="auto"/>
          <w:spacing w:val="0"/>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1701"/>
        <w:gridCol w:w="1417"/>
      </w:tblGrid>
      <w:tr w:rsidR="0021463E" w:rsidRPr="00721761" w14:paraId="1C1B0386" w14:textId="7D8528C4" w:rsidTr="00A6743A">
        <w:tc>
          <w:tcPr>
            <w:tcW w:w="5524" w:type="dxa"/>
            <w:shd w:val="clear" w:color="auto" w:fill="auto"/>
          </w:tcPr>
          <w:p w14:paraId="66DC7D6C" w14:textId="39BB8EBB" w:rsidR="0021463E" w:rsidRPr="005C408C" w:rsidRDefault="0021463E" w:rsidP="00721761">
            <w:pPr>
              <w:pStyle w:val="Heading1"/>
              <w:spacing w:before="0" w:after="0" w:line="240" w:lineRule="auto"/>
              <w:rPr>
                <w:b/>
                <w:color w:val="auto"/>
                <w:spacing w:val="0"/>
                <w:kern w:val="0"/>
                <w:sz w:val="22"/>
                <w:szCs w:val="22"/>
              </w:rPr>
            </w:pPr>
            <w:r>
              <w:rPr>
                <w:b/>
                <w:color w:val="auto"/>
                <w:spacing w:val="0"/>
                <w:kern w:val="0"/>
                <w:sz w:val="22"/>
                <w:szCs w:val="22"/>
              </w:rPr>
              <w:t>SJP Fund</w:t>
            </w:r>
          </w:p>
        </w:tc>
        <w:tc>
          <w:tcPr>
            <w:tcW w:w="1701" w:type="dxa"/>
            <w:shd w:val="clear" w:color="auto" w:fill="auto"/>
          </w:tcPr>
          <w:p w14:paraId="12EE9C3D" w14:textId="103DBCF4" w:rsidR="0021463E" w:rsidRPr="00721761" w:rsidRDefault="0021463E" w:rsidP="00721761">
            <w:pPr>
              <w:pStyle w:val="Heading1"/>
              <w:spacing w:before="0" w:after="0" w:line="240" w:lineRule="auto"/>
              <w:jc w:val="center"/>
              <w:rPr>
                <w:b/>
                <w:bCs w:val="0"/>
                <w:color w:val="auto"/>
                <w:spacing w:val="0"/>
                <w:kern w:val="0"/>
                <w:sz w:val="22"/>
                <w:szCs w:val="22"/>
              </w:rPr>
            </w:pPr>
            <w:r>
              <w:rPr>
                <w:b/>
                <w:bCs w:val="0"/>
                <w:color w:val="auto"/>
                <w:spacing w:val="0"/>
                <w:kern w:val="0"/>
                <w:sz w:val="22"/>
                <w:szCs w:val="22"/>
              </w:rPr>
              <w:t>DB Fund</w:t>
            </w:r>
          </w:p>
        </w:tc>
        <w:tc>
          <w:tcPr>
            <w:tcW w:w="1417" w:type="dxa"/>
          </w:tcPr>
          <w:p w14:paraId="7879EB13" w14:textId="74092FF7" w:rsidR="0021463E" w:rsidRDefault="0021463E" w:rsidP="00721761">
            <w:pPr>
              <w:pStyle w:val="Heading1"/>
              <w:spacing w:before="0" w:after="0" w:line="240" w:lineRule="auto"/>
              <w:jc w:val="center"/>
              <w:rPr>
                <w:b/>
                <w:bCs w:val="0"/>
                <w:color w:val="auto"/>
                <w:spacing w:val="0"/>
                <w:kern w:val="0"/>
                <w:sz w:val="22"/>
                <w:szCs w:val="22"/>
              </w:rPr>
            </w:pPr>
            <w:r>
              <w:rPr>
                <w:b/>
                <w:bCs w:val="0"/>
                <w:color w:val="auto"/>
                <w:spacing w:val="0"/>
                <w:kern w:val="0"/>
                <w:sz w:val="22"/>
                <w:szCs w:val="22"/>
              </w:rPr>
              <w:t>DC Fund</w:t>
            </w:r>
          </w:p>
        </w:tc>
      </w:tr>
      <w:tr w:rsidR="0021463E" w:rsidRPr="00721761" w14:paraId="7111E918" w14:textId="783C2C1D" w:rsidTr="00A6743A">
        <w:tc>
          <w:tcPr>
            <w:tcW w:w="5524" w:type="dxa"/>
            <w:shd w:val="clear" w:color="auto" w:fill="auto"/>
          </w:tcPr>
          <w:p w14:paraId="5362FB54" w14:textId="77777777" w:rsidR="0021463E" w:rsidRPr="00721761" w:rsidRDefault="0021463E" w:rsidP="00721761">
            <w:pPr>
              <w:pStyle w:val="Heading1"/>
              <w:spacing w:before="0" w:after="0" w:line="240" w:lineRule="auto"/>
              <w:rPr>
                <w:b/>
                <w:color w:val="auto"/>
                <w:sz w:val="22"/>
                <w:szCs w:val="22"/>
              </w:rPr>
            </w:pPr>
          </w:p>
        </w:tc>
        <w:tc>
          <w:tcPr>
            <w:tcW w:w="1701" w:type="dxa"/>
            <w:shd w:val="clear" w:color="auto" w:fill="auto"/>
          </w:tcPr>
          <w:p w14:paraId="0B79D22C" w14:textId="5AFD79BB" w:rsidR="0021463E" w:rsidRPr="00721761" w:rsidRDefault="0021463E" w:rsidP="00721761">
            <w:pPr>
              <w:pStyle w:val="Heading1"/>
              <w:spacing w:before="0" w:after="0" w:line="240" w:lineRule="auto"/>
              <w:jc w:val="center"/>
              <w:rPr>
                <w:b/>
                <w:color w:val="auto"/>
                <w:sz w:val="22"/>
                <w:szCs w:val="22"/>
              </w:rPr>
            </w:pPr>
            <w:r w:rsidRPr="00721761">
              <w:rPr>
                <w:b/>
                <w:bCs w:val="0"/>
                <w:color w:val="auto"/>
                <w:spacing w:val="0"/>
                <w:kern w:val="0"/>
                <w:sz w:val="22"/>
                <w:szCs w:val="22"/>
              </w:rPr>
              <w:t>%</w:t>
            </w:r>
          </w:p>
        </w:tc>
        <w:tc>
          <w:tcPr>
            <w:tcW w:w="1417" w:type="dxa"/>
          </w:tcPr>
          <w:p w14:paraId="37754A40" w14:textId="5AC10EBD" w:rsidR="0021463E" w:rsidRPr="00721761" w:rsidRDefault="0021463E" w:rsidP="00721761">
            <w:pPr>
              <w:pStyle w:val="Heading1"/>
              <w:spacing w:before="0" w:after="0" w:line="240" w:lineRule="auto"/>
              <w:jc w:val="center"/>
              <w:rPr>
                <w:b/>
                <w:bCs w:val="0"/>
                <w:color w:val="auto"/>
                <w:spacing w:val="0"/>
                <w:kern w:val="0"/>
                <w:sz w:val="22"/>
                <w:szCs w:val="22"/>
              </w:rPr>
            </w:pPr>
            <w:r>
              <w:rPr>
                <w:b/>
                <w:bCs w:val="0"/>
                <w:color w:val="auto"/>
                <w:spacing w:val="0"/>
                <w:kern w:val="0"/>
                <w:sz w:val="22"/>
                <w:szCs w:val="22"/>
              </w:rPr>
              <w:t>%</w:t>
            </w:r>
          </w:p>
        </w:tc>
      </w:tr>
      <w:tr w:rsidR="0021463E" w:rsidRPr="00721761" w14:paraId="28448713" w14:textId="29AE3A84" w:rsidTr="00A6743A">
        <w:trPr>
          <w:trHeight w:val="70"/>
        </w:trPr>
        <w:tc>
          <w:tcPr>
            <w:tcW w:w="5524" w:type="dxa"/>
            <w:shd w:val="clear" w:color="auto" w:fill="auto"/>
          </w:tcPr>
          <w:p w14:paraId="31D12709" w14:textId="77777777" w:rsidR="0021463E" w:rsidRPr="00721761" w:rsidRDefault="0021463E" w:rsidP="00721761">
            <w:pPr>
              <w:pStyle w:val="Heading1"/>
              <w:spacing w:before="0" w:after="0" w:line="240" w:lineRule="auto"/>
              <w:rPr>
                <w:b/>
                <w:color w:val="auto"/>
                <w:sz w:val="22"/>
                <w:szCs w:val="22"/>
              </w:rPr>
            </w:pPr>
          </w:p>
        </w:tc>
        <w:tc>
          <w:tcPr>
            <w:tcW w:w="1701" w:type="dxa"/>
            <w:shd w:val="clear" w:color="auto" w:fill="auto"/>
          </w:tcPr>
          <w:p w14:paraId="3FD34D2D" w14:textId="77777777" w:rsidR="0021463E" w:rsidRPr="00721761" w:rsidRDefault="0021463E" w:rsidP="00721761">
            <w:pPr>
              <w:pStyle w:val="Heading1"/>
              <w:spacing w:before="0" w:after="0" w:line="240" w:lineRule="auto"/>
              <w:jc w:val="center"/>
              <w:rPr>
                <w:b/>
                <w:color w:val="auto"/>
                <w:sz w:val="22"/>
                <w:szCs w:val="22"/>
              </w:rPr>
            </w:pPr>
          </w:p>
        </w:tc>
        <w:tc>
          <w:tcPr>
            <w:tcW w:w="1417" w:type="dxa"/>
          </w:tcPr>
          <w:p w14:paraId="1C079573" w14:textId="77777777" w:rsidR="0021463E" w:rsidRPr="00721761" w:rsidRDefault="0021463E" w:rsidP="00721761">
            <w:pPr>
              <w:pStyle w:val="Heading1"/>
              <w:spacing w:before="0" w:after="0" w:line="240" w:lineRule="auto"/>
              <w:jc w:val="center"/>
              <w:rPr>
                <w:b/>
                <w:color w:val="auto"/>
                <w:sz w:val="22"/>
                <w:szCs w:val="22"/>
              </w:rPr>
            </w:pPr>
          </w:p>
        </w:tc>
      </w:tr>
      <w:tr w:rsidR="0021463E" w:rsidRPr="00721761" w14:paraId="2809FE72" w14:textId="69FD18CB" w:rsidTr="00A6743A">
        <w:tc>
          <w:tcPr>
            <w:tcW w:w="5524" w:type="dxa"/>
            <w:shd w:val="clear" w:color="auto" w:fill="auto"/>
          </w:tcPr>
          <w:p w14:paraId="572831DB" w14:textId="57CE40F8" w:rsidR="0021463E" w:rsidRPr="00721761" w:rsidRDefault="0021463E" w:rsidP="00721761">
            <w:pPr>
              <w:pStyle w:val="Heading1"/>
              <w:spacing w:before="0" w:after="0" w:line="240" w:lineRule="auto"/>
              <w:rPr>
                <w:color w:val="auto"/>
                <w:sz w:val="22"/>
                <w:szCs w:val="22"/>
              </w:rPr>
            </w:pPr>
            <w:r>
              <w:rPr>
                <w:color w:val="auto"/>
                <w:sz w:val="22"/>
                <w:szCs w:val="22"/>
              </w:rPr>
              <w:t>Strategic Income Fund</w:t>
            </w:r>
          </w:p>
        </w:tc>
        <w:tc>
          <w:tcPr>
            <w:tcW w:w="1701" w:type="dxa"/>
            <w:shd w:val="clear" w:color="auto" w:fill="auto"/>
          </w:tcPr>
          <w:p w14:paraId="6EF58E83" w14:textId="309EFA62" w:rsidR="0021463E" w:rsidRPr="00721761" w:rsidRDefault="00A6743A" w:rsidP="00721761">
            <w:pPr>
              <w:pStyle w:val="Heading1"/>
              <w:spacing w:before="0" w:after="0" w:line="240" w:lineRule="auto"/>
              <w:jc w:val="center"/>
              <w:rPr>
                <w:color w:val="auto"/>
                <w:sz w:val="22"/>
                <w:szCs w:val="22"/>
              </w:rPr>
            </w:pPr>
            <w:r>
              <w:rPr>
                <w:color w:val="auto"/>
                <w:sz w:val="22"/>
                <w:szCs w:val="22"/>
              </w:rPr>
              <w:t>15</w:t>
            </w:r>
          </w:p>
        </w:tc>
        <w:tc>
          <w:tcPr>
            <w:tcW w:w="1417" w:type="dxa"/>
          </w:tcPr>
          <w:p w14:paraId="2DAD108B" w14:textId="543C3036" w:rsidR="0021463E" w:rsidRDefault="00A6743A" w:rsidP="00721761">
            <w:pPr>
              <w:pStyle w:val="Heading1"/>
              <w:spacing w:before="0" w:after="0" w:line="240" w:lineRule="auto"/>
              <w:jc w:val="center"/>
              <w:rPr>
                <w:color w:val="auto"/>
                <w:sz w:val="22"/>
                <w:szCs w:val="22"/>
              </w:rPr>
            </w:pPr>
            <w:r>
              <w:rPr>
                <w:color w:val="auto"/>
                <w:sz w:val="22"/>
                <w:szCs w:val="22"/>
              </w:rPr>
              <w:t>0</w:t>
            </w:r>
          </w:p>
        </w:tc>
      </w:tr>
      <w:tr w:rsidR="0021463E" w:rsidRPr="00721761" w14:paraId="2846C403" w14:textId="63607471" w:rsidTr="00A6743A">
        <w:tc>
          <w:tcPr>
            <w:tcW w:w="5524" w:type="dxa"/>
            <w:shd w:val="clear" w:color="auto" w:fill="auto"/>
          </w:tcPr>
          <w:p w14:paraId="628FF39E" w14:textId="62763188" w:rsidR="0021463E" w:rsidRPr="00721761" w:rsidRDefault="0021463E" w:rsidP="00721761">
            <w:pPr>
              <w:pStyle w:val="Heading1"/>
              <w:spacing w:before="0" w:after="0" w:line="240" w:lineRule="auto"/>
              <w:rPr>
                <w:color w:val="auto"/>
                <w:sz w:val="22"/>
                <w:szCs w:val="22"/>
              </w:rPr>
            </w:pPr>
            <w:r>
              <w:rPr>
                <w:color w:val="auto"/>
                <w:sz w:val="22"/>
                <w:szCs w:val="22"/>
              </w:rPr>
              <w:t>Diversified Bond Fund</w:t>
            </w:r>
          </w:p>
        </w:tc>
        <w:tc>
          <w:tcPr>
            <w:tcW w:w="1701" w:type="dxa"/>
            <w:shd w:val="clear" w:color="auto" w:fill="auto"/>
          </w:tcPr>
          <w:p w14:paraId="5EC292ED" w14:textId="61AA93E4" w:rsidR="0021463E" w:rsidRPr="00721761" w:rsidRDefault="00A6743A" w:rsidP="00721761">
            <w:pPr>
              <w:pStyle w:val="Heading1"/>
              <w:spacing w:before="0" w:after="0" w:line="240" w:lineRule="auto"/>
              <w:jc w:val="center"/>
              <w:rPr>
                <w:color w:val="auto"/>
                <w:sz w:val="22"/>
                <w:szCs w:val="22"/>
              </w:rPr>
            </w:pPr>
            <w:r>
              <w:rPr>
                <w:color w:val="auto"/>
                <w:sz w:val="22"/>
                <w:szCs w:val="22"/>
              </w:rPr>
              <w:t>10</w:t>
            </w:r>
          </w:p>
        </w:tc>
        <w:tc>
          <w:tcPr>
            <w:tcW w:w="1417" w:type="dxa"/>
          </w:tcPr>
          <w:p w14:paraId="06600BFD" w14:textId="695A4949" w:rsidR="0021463E" w:rsidRDefault="00A6743A" w:rsidP="00721761">
            <w:pPr>
              <w:pStyle w:val="Heading1"/>
              <w:spacing w:before="0" w:after="0" w:line="240" w:lineRule="auto"/>
              <w:jc w:val="center"/>
              <w:rPr>
                <w:color w:val="auto"/>
                <w:sz w:val="22"/>
                <w:szCs w:val="22"/>
              </w:rPr>
            </w:pPr>
            <w:r>
              <w:rPr>
                <w:color w:val="auto"/>
                <w:sz w:val="22"/>
                <w:szCs w:val="22"/>
              </w:rPr>
              <w:t>0</w:t>
            </w:r>
          </w:p>
        </w:tc>
      </w:tr>
      <w:tr w:rsidR="0021463E" w:rsidRPr="00721761" w14:paraId="6293C7C7" w14:textId="2DB8A2D5" w:rsidTr="00A6743A">
        <w:tc>
          <w:tcPr>
            <w:tcW w:w="5524" w:type="dxa"/>
            <w:shd w:val="clear" w:color="auto" w:fill="auto"/>
          </w:tcPr>
          <w:p w14:paraId="3DDA63DB" w14:textId="6B5726BD" w:rsidR="0021463E" w:rsidRPr="00721761" w:rsidRDefault="0021463E" w:rsidP="00721761">
            <w:pPr>
              <w:pStyle w:val="Heading1"/>
              <w:spacing w:before="0" w:after="0" w:line="240" w:lineRule="auto"/>
              <w:rPr>
                <w:color w:val="auto"/>
                <w:sz w:val="22"/>
                <w:szCs w:val="22"/>
              </w:rPr>
            </w:pPr>
            <w:r w:rsidRPr="00721761">
              <w:rPr>
                <w:color w:val="auto"/>
                <w:sz w:val="22"/>
                <w:szCs w:val="22"/>
              </w:rPr>
              <w:t xml:space="preserve">Corporate </w:t>
            </w:r>
            <w:r>
              <w:rPr>
                <w:color w:val="auto"/>
                <w:sz w:val="22"/>
                <w:szCs w:val="22"/>
              </w:rPr>
              <w:t>B</w:t>
            </w:r>
            <w:r w:rsidRPr="00721761">
              <w:rPr>
                <w:color w:val="auto"/>
                <w:sz w:val="22"/>
                <w:szCs w:val="22"/>
              </w:rPr>
              <w:t>ond</w:t>
            </w:r>
            <w:r>
              <w:rPr>
                <w:color w:val="auto"/>
                <w:sz w:val="22"/>
                <w:szCs w:val="22"/>
              </w:rPr>
              <w:t xml:space="preserve"> Fund</w:t>
            </w:r>
          </w:p>
        </w:tc>
        <w:tc>
          <w:tcPr>
            <w:tcW w:w="1701" w:type="dxa"/>
            <w:shd w:val="clear" w:color="auto" w:fill="auto"/>
          </w:tcPr>
          <w:p w14:paraId="6C6D0029" w14:textId="01D64C8E" w:rsidR="0021463E" w:rsidRPr="00721761" w:rsidRDefault="00A6743A" w:rsidP="00721761">
            <w:pPr>
              <w:pStyle w:val="Heading1"/>
              <w:spacing w:before="0" w:after="0" w:line="240" w:lineRule="auto"/>
              <w:jc w:val="center"/>
              <w:rPr>
                <w:color w:val="auto"/>
                <w:sz w:val="22"/>
                <w:szCs w:val="22"/>
              </w:rPr>
            </w:pPr>
            <w:r>
              <w:rPr>
                <w:color w:val="auto"/>
                <w:sz w:val="22"/>
                <w:szCs w:val="22"/>
              </w:rPr>
              <w:t>15</w:t>
            </w:r>
          </w:p>
        </w:tc>
        <w:tc>
          <w:tcPr>
            <w:tcW w:w="1417" w:type="dxa"/>
          </w:tcPr>
          <w:p w14:paraId="1F4B8884" w14:textId="5C6205ED" w:rsidR="0021463E" w:rsidRDefault="00A6743A" w:rsidP="00721761">
            <w:pPr>
              <w:pStyle w:val="Heading1"/>
              <w:spacing w:before="0" w:after="0" w:line="240" w:lineRule="auto"/>
              <w:jc w:val="center"/>
              <w:rPr>
                <w:color w:val="auto"/>
                <w:sz w:val="22"/>
                <w:szCs w:val="22"/>
              </w:rPr>
            </w:pPr>
            <w:r>
              <w:rPr>
                <w:color w:val="auto"/>
                <w:sz w:val="22"/>
                <w:szCs w:val="22"/>
              </w:rPr>
              <w:t>0</w:t>
            </w:r>
          </w:p>
        </w:tc>
      </w:tr>
      <w:tr w:rsidR="0021463E" w:rsidRPr="00721761" w14:paraId="436FB37D" w14:textId="2FC10034" w:rsidTr="00A6743A">
        <w:tc>
          <w:tcPr>
            <w:tcW w:w="5524" w:type="dxa"/>
            <w:shd w:val="clear" w:color="auto" w:fill="auto"/>
          </w:tcPr>
          <w:p w14:paraId="5A63FB67" w14:textId="097615ED" w:rsidR="0021463E" w:rsidRPr="00721761" w:rsidRDefault="0021463E" w:rsidP="00721761">
            <w:pPr>
              <w:pStyle w:val="Heading1"/>
              <w:spacing w:before="0" w:after="0" w:line="240" w:lineRule="auto"/>
              <w:rPr>
                <w:color w:val="auto"/>
                <w:sz w:val="22"/>
                <w:szCs w:val="22"/>
              </w:rPr>
            </w:pPr>
            <w:r>
              <w:rPr>
                <w:color w:val="auto"/>
                <w:sz w:val="22"/>
                <w:szCs w:val="22"/>
              </w:rPr>
              <w:t>Global High Yield Bond Fund</w:t>
            </w:r>
          </w:p>
        </w:tc>
        <w:tc>
          <w:tcPr>
            <w:tcW w:w="1701" w:type="dxa"/>
            <w:shd w:val="clear" w:color="auto" w:fill="auto"/>
          </w:tcPr>
          <w:p w14:paraId="35D14456" w14:textId="7CF3E7D5" w:rsidR="0021463E" w:rsidRPr="00721761" w:rsidRDefault="00F52E40" w:rsidP="00721761">
            <w:pPr>
              <w:pStyle w:val="Heading1"/>
              <w:spacing w:before="0" w:after="0" w:line="240" w:lineRule="auto"/>
              <w:jc w:val="center"/>
              <w:rPr>
                <w:color w:val="auto"/>
                <w:sz w:val="22"/>
                <w:szCs w:val="22"/>
              </w:rPr>
            </w:pPr>
            <w:r>
              <w:rPr>
                <w:color w:val="auto"/>
                <w:sz w:val="22"/>
                <w:szCs w:val="22"/>
              </w:rPr>
              <w:t>1</w:t>
            </w:r>
            <w:r w:rsidR="00A6743A">
              <w:rPr>
                <w:color w:val="auto"/>
                <w:sz w:val="22"/>
                <w:szCs w:val="22"/>
              </w:rPr>
              <w:t>5</w:t>
            </w:r>
          </w:p>
        </w:tc>
        <w:tc>
          <w:tcPr>
            <w:tcW w:w="1417" w:type="dxa"/>
          </w:tcPr>
          <w:p w14:paraId="1A3192F9" w14:textId="0E0968C3" w:rsidR="0021463E" w:rsidRDefault="00A6743A" w:rsidP="00721761">
            <w:pPr>
              <w:pStyle w:val="Heading1"/>
              <w:spacing w:before="0" w:after="0" w:line="240" w:lineRule="auto"/>
              <w:jc w:val="center"/>
              <w:rPr>
                <w:color w:val="auto"/>
                <w:sz w:val="22"/>
                <w:szCs w:val="22"/>
              </w:rPr>
            </w:pPr>
            <w:r>
              <w:rPr>
                <w:color w:val="auto"/>
                <w:sz w:val="22"/>
                <w:szCs w:val="22"/>
              </w:rPr>
              <w:t>0</w:t>
            </w:r>
          </w:p>
        </w:tc>
      </w:tr>
      <w:tr w:rsidR="0021463E" w:rsidRPr="00721761" w14:paraId="3190B761" w14:textId="7AE02A41" w:rsidTr="00A6743A">
        <w:tc>
          <w:tcPr>
            <w:tcW w:w="5524" w:type="dxa"/>
            <w:shd w:val="clear" w:color="auto" w:fill="auto"/>
          </w:tcPr>
          <w:p w14:paraId="2F459D26" w14:textId="44E7A911" w:rsidR="0021463E" w:rsidRPr="00721761" w:rsidRDefault="0021463E" w:rsidP="00721761">
            <w:pPr>
              <w:pStyle w:val="Heading1"/>
              <w:spacing w:before="0" w:after="0" w:line="240" w:lineRule="auto"/>
              <w:rPr>
                <w:color w:val="auto"/>
                <w:sz w:val="22"/>
                <w:szCs w:val="22"/>
              </w:rPr>
            </w:pPr>
            <w:r>
              <w:rPr>
                <w:color w:val="auto"/>
                <w:sz w:val="22"/>
                <w:szCs w:val="22"/>
              </w:rPr>
              <w:t>Investment Grade Corp</w:t>
            </w:r>
            <w:r w:rsidR="00A6743A">
              <w:rPr>
                <w:color w:val="auto"/>
                <w:sz w:val="22"/>
                <w:szCs w:val="22"/>
              </w:rPr>
              <w:t>orate</w:t>
            </w:r>
            <w:r>
              <w:rPr>
                <w:color w:val="auto"/>
                <w:sz w:val="22"/>
                <w:szCs w:val="22"/>
              </w:rPr>
              <w:t xml:space="preserve"> Bond Fund</w:t>
            </w:r>
          </w:p>
        </w:tc>
        <w:tc>
          <w:tcPr>
            <w:tcW w:w="1701" w:type="dxa"/>
            <w:shd w:val="clear" w:color="auto" w:fill="auto"/>
          </w:tcPr>
          <w:p w14:paraId="56E471D0" w14:textId="535D8875" w:rsidR="0021463E" w:rsidRPr="00721761" w:rsidRDefault="00A6743A" w:rsidP="00721761">
            <w:pPr>
              <w:pStyle w:val="Heading1"/>
              <w:spacing w:before="0" w:after="0" w:line="240" w:lineRule="auto"/>
              <w:jc w:val="center"/>
              <w:rPr>
                <w:color w:val="auto"/>
                <w:sz w:val="22"/>
                <w:szCs w:val="22"/>
              </w:rPr>
            </w:pPr>
            <w:r>
              <w:rPr>
                <w:color w:val="auto"/>
                <w:sz w:val="22"/>
                <w:szCs w:val="22"/>
              </w:rPr>
              <w:t>10</w:t>
            </w:r>
          </w:p>
        </w:tc>
        <w:tc>
          <w:tcPr>
            <w:tcW w:w="1417" w:type="dxa"/>
          </w:tcPr>
          <w:p w14:paraId="04C1EA9D" w14:textId="3337A5E4" w:rsidR="0021463E" w:rsidRDefault="00A6743A" w:rsidP="00721761">
            <w:pPr>
              <w:pStyle w:val="Heading1"/>
              <w:spacing w:before="0" w:after="0" w:line="240" w:lineRule="auto"/>
              <w:jc w:val="center"/>
              <w:rPr>
                <w:color w:val="auto"/>
                <w:sz w:val="22"/>
                <w:szCs w:val="22"/>
              </w:rPr>
            </w:pPr>
            <w:r>
              <w:rPr>
                <w:color w:val="auto"/>
                <w:sz w:val="22"/>
                <w:szCs w:val="22"/>
              </w:rPr>
              <w:t>0</w:t>
            </w:r>
          </w:p>
        </w:tc>
      </w:tr>
      <w:tr w:rsidR="0021463E" w:rsidRPr="00721761" w14:paraId="35F1144D" w14:textId="1E524B33" w:rsidTr="00A6743A">
        <w:tc>
          <w:tcPr>
            <w:tcW w:w="5524" w:type="dxa"/>
            <w:shd w:val="clear" w:color="auto" w:fill="auto"/>
          </w:tcPr>
          <w:p w14:paraId="2FE94D29" w14:textId="1DF7F747" w:rsidR="0021463E" w:rsidRPr="00721761" w:rsidRDefault="0021463E" w:rsidP="00721761">
            <w:pPr>
              <w:pStyle w:val="Heading1"/>
              <w:spacing w:before="0" w:after="0" w:line="240" w:lineRule="auto"/>
              <w:rPr>
                <w:color w:val="auto"/>
                <w:sz w:val="22"/>
                <w:szCs w:val="22"/>
              </w:rPr>
            </w:pPr>
            <w:r>
              <w:rPr>
                <w:color w:val="auto"/>
                <w:sz w:val="22"/>
                <w:szCs w:val="22"/>
              </w:rPr>
              <w:t>Global Government Bond Fund</w:t>
            </w:r>
          </w:p>
        </w:tc>
        <w:tc>
          <w:tcPr>
            <w:tcW w:w="1701" w:type="dxa"/>
            <w:shd w:val="clear" w:color="auto" w:fill="auto"/>
          </w:tcPr>
          <w:p w14:paraId="11E677AE" w14:textId="0EFBDA38" w:rsidR="0021463E" w:rsidRPr="00721761" w:rsidRDefault="00F52E40" w:rsidP="00721761">
            <w:pPr>
              <w:pStyle w:val="Heading1"/>
              <w:spacing w:before="0" w:after="0" w:line="240" w:lineRule="auto"/>
              <w:jc w:val="center"/>
              <w:rPr>
                <w:color w:val="auto"/>
                <w:sz w:val="22"/>
                <w:szCs w:val="22"/>
              </w:rPr>
            </w:pPr>
            <w:r>
              <w:rPr>
                <w:color w:val="auto"/>
                <w:sz w:val="22"/>
                <w:szCs w:val="22"/>
              </w:rPr>
              <w:t>10</w:t>
            </w:r>
          </w:p>
        </w:tc>
        <w:tc>
          <w:tcPr>
            <w:tcW w:w="1417" w:type="dxa"/>
          </w:tcPr>
          <w:p w14:paraId="561BA5EA" w14:textId="1F1ADAAC" w:rsidR="0021463E" w:rsidRDefault="00A6743A" w:rsidP="00721761">
            <w:pPr>
              <w:pStyle w:val="Heading1"/>
              <w:spacing w:before="0" w:after="0" w:line="240" w:lineRule="auto"/>
              <w:jc w:val="center"/>
              <w:rPr>
                <w:color w:val="auto"/>
                <w:sz w:val="22"/>
                <w:szCs w:val="22"/>
              </w:rPr>
            </w:pPr>
            <w:r>
              <w:rPr>
                <w:color w:val="auto"/>
                <w:sz w:val="22"/>
                <w:szCs w:val="22"/>
              </w:rPr>
              <w:t>0</w:t>
            </w:r>
          </w:p>
        </w:tc>
      </w:tr>
      <w:tr w:rsidR="00A6743A" w:rsidRPr="00721761" w14:paraId="7F5B4704" w14:textId="77777777" w:rsidTr="00A6743A">
        <w:tc>
          <w:tcPr>
            <w:tcW w:w="5524" w:type="dxa"/>
            <w:shd w:val="clear" w:color="auto" w:fill="auto"/>
          </w:tcPr>
          <w:p w14:paraId="1B51B733" w14:textId="2545A092" w:rsidR="00A6743A" w:rsidRDefault="00A6743A" w:rsidP="00721761">
            <w:pPr>
              <w:pStyle w:val="Heading1"/>
              <w:spacing w:before="0" w:after="0" w:line="240" w:lineRule="auto"/>
              <w:rPr>
                <w:color w:val="auto"/>
                <w:sz w:val="22"/>
                <w:szCs w:val="22"/>
              </w:rPr>
            </w:pPr>
            <w:r>
              <w:rPr>
                <w:color w:val="auto"/>
                <w:sz w:val="22"/>
                <w:szCs w:val="22"/>
              </w:rPr>
              <w:t xml:space="preserve">Global Government Inflation Linked Bond Fund </w:t>
            </w:r>
          </w:p>
        </w:tc>
        <w:tc>
          <w:tcPr>
            <w:tcW w:w="1701" w:type="dxa"/>
            <w:shd w:val="clear" w:color="auto" w:fill="auto"/>
          </w:tcPr>
          <w:p w14:paraId="28EDF03A" w14:textId="43BB2966" w:rsidR="00A6743A" w:rsidRDefault="00F52E40" w:rsidP="00721761">
            <w:pPr>
              <w:pStyle w:val="Heading1"/>
              <w:spacing w:before="0" w:after="0" w:line="240" w:lineRule="auto"/>
              <w:jc w:val="center"/>
              <w:rPr>
                <w:color w:val="auto"/>
                <w:sz w:val="22"/>
                <w:szCs w:val="22"/>
              </w:rPr>
            </w:pPr>
            <w:r>
              <w:rPr>
                <w:color w:val="auto"/>
                <w:sz w:val="22"/>
                <w:szCs w:val="22"/>
              </w:rPr>
              <w:t>10</w:t>
            </w:r>
          </w:p>
        </w:tc>
        <w:tc>
          <w:tcPr>
            <w:tcW w:w="1417" w:type="dxa"/>
          </w:tcPr>
          <w:p w14:paraId="4B25AC99" w14:textId="12C7958A" w:rsidR="00A6743A" w:rsidRDefault="00A6743A" w:rsidP="00721761">
            <w:pPr>
              <w:pStyle w:val="Heading1"/>
              <w:spacing w:before="0" w:after="0" w:line="240" w:lineRule="auto"/>
              <w:jc w:val="center"/>
              <w:rPr>
                <w:color w:val="auto"/>
                <w:sz w:val="22"/>
                <w:szCs w:val="22"/>
              </w:rPr>
            </w:pPr>
            <w:r>
              <w:rPr>
                <w:color w:val="auto"/>
                <w:sz w:val="22"/>
                <w:szCs w:val="22"/>
              </w:rPr>
              <w:t>0</w:t>
            </w:r>
          </w:p>
        </w:tc>
      </w:tr>
      <w:tr w:rsidR="0021463E" w:rsidRPr="00721761" w14:paraId="44F67BD3" w14:textId="24D54EF9" w:rsidTr="00A6743A">
        <w:tc>
          <w:tcPr>
            <w:tcW w:w="5524" w:type="dxa"/>
            <w:shd w:val="clear" w:color="auto" w:fill="auto"/>
          </w:tcPr>
          <w:p w14:paraId="4C1F05C2" w14:textId="37629C61" w:rsidR="0021463E" w:rsidRPr="00721761" w:rsidRDefault="0021463E" w:rsidP="00721761">
            <w:pPr>
              <w:pStyle w:val="Heading1"/>
              <w:spacing w:before="0" w:after="0" w:line="240" w:lineRule="auto"/>
              <w:rPr>
                <w:color w:val="auto"/>
                <w:sz w:val="22"/>
                <w:szCs w:val="22"/>
              </w:rPr>
            </w:pPr>
            <w:r>
              <w:rPr>
                <w:color w:val="auto"/>
                <w:sz w:val="22"/>
                <w:szCs w:val="22"/>
              </w:rPr>
              <w:t>Global Value Fund</w:t>
            </w:r>
          </w:p>
        </w:tc>
        <w:tc>
          <w:tcPr>
            <w:tcW w:w="1701" w:type="dxa"/>
            <w:shd w:val="clear" w:color="auto" w:fill="auto"/>
          </w:tcPr>
          <w:p w14:paraId="16F1EEEA" w14:textId="35BD8F67" w:rsidR="0021463E" w:rsidRPr="00721761" w:rsidRDefault="00A6743A" w:rsidP="00721761">
            <w:pPr>
              <w:pStyle w:val="Heading1"/>
              <w:spacing w:before="0" w:after="0" w:line="240" w:lineRule="auto"/>
              <w:jc w:val="center"/>
              <w:rPr>
                <w:color w:val="auto"/>
                <w:sz w:val="22"/>
                <w:szCs w:val="22"/>
              </w:rPr>
            </w:pPr>
            <w:r>
              <w:rPr>
                <w:color w:val="auto"/>
                <w:sz w:val="22"/>
                <w:szCs w:val="22"/>
              </w:rPr>
              <w:t>15</w:t>
            </w:r>
          </w:p>
        </w:tc>
        <w:tc>
          <w:tcPr>
            <w:tcW w:w="1417" w:type="dxa"/>
          </w:tcPr>
          <w:p w14:paraId="264367F2" w14:textId="48FA52F9" w:rsidR="0021463E" w:rsidRDefault="00A6743A" w:rsidP="00721761">
            <w:pPr>
              <w:pStyle w:val="Heading1"/>
              <w:spacing w:before="0" w:after="0" w:line="240" w:lineRule="auto"/>
              <w:jc w:val="center"/>
              <w:rPr>
                <w:color w:val="auto"/>
                <w:sz w:val="22"/>
                <w:szCs w:val="22"/>
              </w:rPr>
            </w:pPr>
            <w:r>
              <w:rPr>
                <w:color w:val="auto"/>
                <w:sz w:val="22"/>
                <w:szCs w:val="22"/>
              </w:rPr>
              <w:t>0</w:t>
            </w:r>
          </w:p>
        </w:tc>
      </w:tr>
      <w:tr w:rsidR="0021463E" w:rsidRPr="00721761" w14:paraId="07E95A86" w14:textId="02F77F51" w:rsidTr="00A6743A">
        <w:tc>
          <w:tcPr>
            <w:tcW w:w="5524" w:type="dxa"/>
            <w:shd w:val="clear" w:color="auto" w:fill="auto"/>
          </w:tcPr>
          <w:p w14:paraId="3EF916DC" w14:textId="40B738A1" w:rsidR="0021463E" w:rsidRPr="00721761" w:rsidRDefault="00C67BA6" w:rsidP="00721761">
            <w:pPr>
              <w:pStyle w:val="Heading1"/>
              <w:spacing w:before="0" w:after="0" w:line="240" w:lineRule="auto"/>
              <w:rPr>
                <w:color w:val="auto"/>
                <w:sz w:val="22"/>
                <w:szCs w:val="22"/>
              </w:rPr>
            </w:pPr>
            <w:r>
              <w:rPr>
                <w:color w:val="auto"/>
                <w:sz w:val="22"/>
                <w:szCs w:val="22"/>
              </w:rPr>
              <w:t>SJP Polaris 3 Pension (medium risk)</w:t>
            </w:r>
          </w:p>
        </w:tc>
        <w:tc>
          <w:tcPr>
            <w:tcW w:w="1701" w:type="dxa"/>
            <w:shd w:val="clear" w:color="auto" w:fill="auto"/>
          </w:tcPr>
          <w:p w14:paraId="058EC115" w14:textId="64798BA8" w:rsidR="0021463E" w:rsidRPr="00721761" w:rsidRDefault="00A6743A" w:rsidP="00721761">
            <w:pPr>
              <w:pStyle w:val="Heading1"/>
              <w:spacing w:before="0" w:after="0" w:line="240" w:lineRule="auto"/>
              <w:jc w:val="center"/>
              <w:rPr>
                <w:color w:val="auto"/>
                <w:sz w:val="22"/>
                <w:szCs w:val="22"/>
              </w:rPr>
            </w:pPr>
            <w:r>
              <w:rPr>
                <w:color w:val="auto"/>
                <w:sz w:val="22"/>
                <w:szCs w:val="22"/>
              </w:rPr>
              <w:t>0</w:t>
            </w:r>
          </w:p>
        </w:tc>
        <w:tc>
          <w:tcPr>
            <w:tcW w:w="1417" w:type="dxa"/>
          </w:tcPr>
          <w:p w14:paraId="6BDBF614" w14:textId="30CC0D4D" w:rsidR="0021463E" w:rsidRPr="00721761" w:rsidRDefault="00A6743A" w:rsidP="00721761">
            <w:pPr>
              <w:pStyle w:val="Heading1"/>
              <w:spacing w:before="0" w:after="0" w:line="240" w:lineRule="auto"/>
              <w:jc w:val="center"/>
              <w:rPr>
                <w:color w:val="auto"/>
                <w:sz w:val="22"/>
                <w:szCs w:val="22"/>
              </w:rPr>
            </w:pPr>
            <w:r>
              <w:rPr>
                <w:color w:val="auto"/>
                <w:sz w:val="22"/>
                <w:szCs w:val="22"/>
              </w:rPr>
              <w:t>70</w:t>
            </w:r>
          </w:p>
        </w:tc>
      </w:tr>
      <w:tr w:rsidR="00A6743A" w:rsidRPr="00721761" w14:paraId="2951EC1C" w14:textId="77777777" w:rsidTr="00A6743A">
        <w:tc>
          <w:tcPr>
            <w:tcW w:w="5524" w:type="dxa"/>
            <w:shd w:val="clear" w:color="auto" w:fill="auto"/>
          </w:tcPr>
          <w:p w14:paraId="244BF059" w14:textId="293986E3" w:rsidR="00A6743A" w:rsidRPr="00721761" w:rsidRDefault="00C67BA6" w:rsidP="00721761">
            <w:pPr>
              <w:pStyle w:val="Heading1"/>
              <w:spacing w:before="0" w:after="0" w:line="240" w:lineRule="auto"/>
              <w:rPr>
                <w:color w:val="auto"/>
                <w:sz w:val="22"/>
                <w:szCs w:val="22"/>
              </w:rPr>
            </w:pPr>
            <w:r>
              <w:rPr>
                <w:color w:val="auto"/>
                <w:sz w:val="22"/>
                <w:szCs w:val="22"/>
              </w:rPr>
              <w:t>SJP Polaris 4 Pension (medium to high risk)</w:t>
            </w:r>
          </w:p>
        </w:tc>
        <w:tc>
          <w:tcPr>
            <w:tcW w:w="1701" w:type="dxa"/>
            <w:shd w:val="clear" w:color="auto" w:fill="auto"/>
          </w:tcPr>
          <w:p w14:paraId="1050402E" w14:textId="2A462B9E" w:rsidR="00A6743A" w:rsidRPr="00721761" w:rsidRDefault="00A6743A" w:rsidP="00721761">
            <w:pPr>
              <w:pStyle w:val="Heading1"/>
              <w:spacing w:before="0" w:after="0" w:line="240" w:lineRule="auto"/>
              <w:jc w:val="center"/>
              <w:rPr>
                <w:color w:val="auto"/>
                <w:sz w:val="22"/>
                <w:szCs w:val="22"/>
              </w:rPr>
            </w:pPr>
            <w:r>
              <w:rPr>
                <w:color w:val="auto"/>
                <w:sz w:val="22"/>
                <w:szCs w:val="22"/>
              </w:rPr>
              <w:t>0</w:t>
            </w:r>
          </w:p>
        </w:tc>
        <w:tc>
          <w:tcPr>
            <w:tcW w:w="1417" w:type="dxa"/>
          </w:tcPr>
          <w:p w14:paraId="71BAE0E0" w14:textId="138FB8D5" w:rsidR="00A6743A" w:rsidRPr="00721761" w:rsidRDefault="00A6743A" w:rsidP="00721761">
            <w:pPr>
              <w:pStyle w:val="Heading1"/>
              <w:spacing w:before="0" w:after="0" w:line="240" w:lineRule="auto"/>
              <w:jc w:val="center"/>
              <w:rPr>
                <w:color w:val="auto"/>
                <w:sz w:val="22"/>
                <w:szCs w:val="22"/>
              </w:rPr>
            </w:pPr>
            <w:r>
              <w:rPr>
                <w:color w:val="auto"/>
                <w:sz w:val="22"/>
                <w:szCs w:val="22"/>
              </w:rPr>
              <w:t>30</w:t>
            </w:r>
          </w:p>
        </w:tc>
      </w:tr>
      <w:tr w:rsidR="00A6743A" w:rsidRPr="00721761" w14:paraId="1F4EE220" w14:textId="77777777" w:rsidTr="00A6743A">
        <w:tc>
          <w:tcPr>
            <w:tcW w:w="5524" w:type="dxa"/>
            <w:shd w:val="clear" w:color="auto" w:fill="auto"/>
          </w:tcPr>
          <w:p w14:paraId="38FDD891" w14:textId="77777777" w:rsidR="00A6743A" w:rsidRPr="00721761" w:rsidRDefault="00A6743A" w:rsidP="00721761">
            <w:pPr>
              <w:pStyle w:val="Heading1"/>
              <w:spacing w:before="0" w:after="0" w:line="240" w:lineRule="auto"/>
              <w:rPr>
                <w:color w:val="auto"/>
                <w:sz w:val="22"/>
                <w:szCs w:val="22"/>
              </w:rPr>
            </w:pPr>
          </w:p>
        </w:tc>
        <w:tc>
          <w:tcPr>
            <w:tcW w:w="1701" w:type="dxa"/>
            <w:shd w:val="clear" w:color="auto" w:fill="auto"/>
          </w:tcPr>
          <w:p w14:paraId="7D6A173A" w14:textId="77777777" w:rsidR="00A6743A" w:rsidRPr="00721761" w:rsidRDefault="00A6743A" w:rsidP="00721761">
            <w:pPr>
              <w:pStyle w:val="Heading1"/>
              <w:spacing w:before="0" w:after="0" w:line="240" w:lineRule="auto"/>
              <w:jc w:val="center"/>
              <w:rPr>
                <w:color w:val="auto"/>
                <w:sz w:val="22"/>
                <w:szCs w:val="22"/>
              </w:rPr>
            </w:pPr>
          </w:p>
        </w:tc>
        <w:tc>
          <w:tcPr>
            <w:tcW w:w="1417" w:type="dxa"/>
          </w:tcPr>
          <w:p w14:paraId="6A0A1184" w14:textId="77777777" w:rsidR="00A6743A" w:rsidRPr="00721761" w:rsidRDefault="00A6743A" w:rsidP="00721761">
            <w:pPr>
              <w:pStyle w:val="Heading1"/>
              <w:spacing w:before="0" w:after="0" w:line="240" w:lineRule="auto"/>
              <w:jc w:val="center"/>
              <w:rPr>
                <w:color w:val="auto"/>
                <w:sz w:val="22"/>
                <w:szCs w:val="22"/>
              </w:rPr>
            </w:pPr>
          </w:p>
        </w:tc>
      </w:tr>
      <w:tr w:rsidR="0021463E" w:rsidRPr="00721761" w14:paraId="1E9FBBB0" w14:textId="707C4B2F" w:rsidTr="00A6743A">
        <w:tc>
          <w:tcPr>
            <w:tcW w:w="5524" w:type="dxa"/>
            <w:shd w:val="clear" w:color="auto" w:fill="auto"/>
          </w:tcPr>
          <w:p w14:paraId="1E427151" w14:textId="77777777" w:rsidR="0021463E" w:rsidRPr="00721761" w:rsidRDefault="0021463E" w:rsidP="00721761">
            <w:pPr>
              <w:pStyle w:val="Heading1"/>
              <w:spacing w:before="0" w:after="0" w:line="240" w:lineRule="auto"/>
              <w:rPr>
                <w:color w:val="auto"/>
                <w:sz w:val="22"/>
                <w:szCs w:val="22"/>
              </w:rPr>
            </w:pPr>
          </w:p>
        </w:tc>
        <w:tc>
          <w:tcPr>
            <w:tcW w:w="1701" w:type="dxa"/>
            <w:shd w:val="clear" w:color="auto" w:fill="auto"/>
          </w:tcPr>
          <w:p w14:paraId="43992F2F" w14:textId="77777777" w:rsidR="0021463E" w:rsidRPr="00721761" w:rsidRDefault="0021463E" w:rsidP="00721761">
            <w:pPr>
              <w:pStyle w:val="Heading1"/>
              <w:spacing w:before="0" w:after="0" w:line="240" w:lineRule="auto"/>
              <w:jc w:val="center"/>
              <w:rPr>
                <w:color w:val="auto"/>
                <w:sz w:val="22"/>
                <w:szCs w:val="22"/>
              </w:rPr>
            </w:pPr>
            <w:r w:rsidRPr="00721761">
              <w:rPr>
                <w:color w:val="auto"/>
                <w:sz w:val="22"/>
                <w:szCs w:val="22"/>
              </w:rPr>
              <w:t>100</w:t>
            </w:r>
          </w:p>
        </w:tc>
        <w:tc>
          <w:tcPr>
            <w:tcW w:w="1417" w:type="dxa"/>
          </w:tcPr>
          <w:p w14:paraId="6B5D4CD2" w14:textId="29053B41" w:rsidR="0021463E" w:rsidRPr="00721761" w:rsidRDefault="0021463E" w:rsidP="00721761">
            <w:pPr>
              <w:pStyle w:val="Heading1"/>
              <w:spacing w:before="0" w:after="0" w:line="240" w:lineRule="auto"/>
              <w:jc w:val="center"/>
              <w:rPr>
                <w:color w:val="auto"/>
                <w:sz w:val="22"/>
                <w:szCs w:val="22"/>
              </w:rPr>
            </w:pPr>
            <w:r>
              <w:rPr>
                <w:color w:val="auto"/>
                <w:sz w:val="22"/>
                <w:szCs w:val="22"/>
              </w:rPr>
              <w:t>100</w:t>
            </w:r>
          </w:p>
        </w:tc>
      </w:tr>
    </w:tbl>
    <w:p w14:paraId="70EFFEF7" w14:textId="77777777" w:rsidR="00F751E4" w:rsidRDefault="00F751E4" w:rsidP="0086392B">
      <w:pPr>
        <w:pStyle w:val="Heading1"/>
        <w:spacing w:before="0" w:after="0" w:line="240" w:lineRule="auto"/>
        <w:rPr>
          <w:sz w:val="22"/>
          <w:szCs w:val="22"/>
        </w:rPr>
      </w:pPr>
    </w:p>
    <w:p w14:paraId="32484A57" w14:textId="77777777" w:rsidR="000026ED" w:rsidRDefault="000026ED" w:rsidP="004717E5">
      <w:pPr>
        <w:spacing w:line="240" w:lineRule="auto"/>
        <w:rPr>
          <w:rFonts w:cs="Arial"/>
          <w:sz w:val="22"/>
          <w:szCs w:val="22"/>
        </w:rPr>
      </w:pPr>
    </w:p>
    <w:p w14:paraId="42153421" w14:textId="24A27DD6" w:rsidR="004717E5" w:rsidRDefault="004717E5" w:rsidP="004717E5">
      <w:pPr>
        <w:spacing w:line="240" w:lineRule="auto"/>
        <w:rPr>
          <w:rFonts w:cs="Arial"/>
          <w:sz w:val="22"/>
          <w:szCs w:val="22"/>
        </w:rPr>
      </w:pPr>
      <w:r>
        <w:rPr>
          <w:rFonts w:cs="Arial"/>
          <w:sz w:val="22"/>
          <w:szCs w:val="22"/>
        </w:rPr>
        <w:t>The Trustees have taken advice from their Advisers to ensure that the asset allocation strategy</w:t>
      </w:r>
      <w:r w:rsidR="0021463E">
        <w:rPr>
          <w:rFonts w:cs="Arial"/>
          <w:sz w:val="22"/>
          <w:szCs w:val="22"/>
        </w:rPr>
        <w:t xml:space="preserve"> in the DB fund</w:t>
      </w:r>
      <w:r>
        <w:rPr>
          <w:rFonts w:cs="Arial"/>
          <w:sz w:val="22"/>
          <w:szCs w:val="22"/>
        </w:rPr>
        <w:t xml:space="preserve"> </w:t>
      </w:r>
      <w:r w:rsidR="001D5DCB">
        <w:rPr>
          <w:rFonts w:cs="Arial"/>
          <w:sz w:val="22"/>
          <w:szCs w:val="22"/>
        </w:rPr>
        <w:t>is</w:t>
      </w:r>
      <w:r>
        <w:rPr>
          <w:rFonts w:cs="Arial"/>
          <w:sz w:val="22"/>
          <w:szCs w:val="22"/>
        </w:rPr>
        <w:t xml:space="preserve"> suitable for the Scheme, given its objectives and liability profile.</w:t>
      </w:r>
      <w:r w:rsidR="0021463E">
        <w:rPr>
          <w:rFonts w:cs="Arial"/>
          <w:sz w:val="22"/>
          <w:szCs w:val="22"/>
        </w:rPr>
        <w:t xml:space="preserve"> They have also take</w:t>
      </w:r>
      <w:r w:rsidR="009E0454">
        <w:rPr>
          <w:rFonts w:cs="Arial"/>
          <w:sz w:val="22"/>
          <w:szCs w:val="22"/>
        </w:rPr>
        <w:t>n</w:t>
      </w:r>
      <w:r w:rsidR="0021463E">
        <w:rPr>
          <w:rFonts w:cs="Arial"/>
          <w:sz w:val="22"/>
          <w:szCs w:val="22"/>
        </w:rPr>
        <w:t xml:space="preserve"> account of the views and risk appetite of the DC member, who has received advice from the Scheme’s </w:t>
      </w:r>
      <w:r w:rsidR="009E0454">
        <w:rPr>
          <w:rFonts w:cs="Arial"/>
          <w:sz w:val="22"/>
          <w:szCs w:val="22"/>
        </w:rPr>
        <w:t>I</w:t>
      </w:r>
      <w:r w:rsidR="0021463E">
        <w:rPr>
          <w:rFonts w:cs="Arial"/>
          <w:sz w:val="22"/>
          <w:szCs w:val="22"/>
        </w:rPr>
        <w:t xml:space="preserve">nvestment </w:t>
      </w:r>
      <w:r w:rsidR="009E0454">
        <w:rPr>
          <w:rFonts w:cs="Arial"/>
          <w:sz w:val="22"/>
          <w:szCs w:val="22"/>
        </w:rPr>
        <w:t>A</w:t>
      </w:r>
      <w:r w:rsidR="0021463E">
        <w:rPr>
          <w:rFonts w:cs="Arial"/>
          <w:sz w:val="22"/>
          <w:szCs w:val="22"/>
        </w:rPr>
        <w:t>dviser, in setting the asset allocation strategy of the DC Fund.</w:t>
      </w:r>
    </w:p>
    <w:p w14:paraId="427DAD21" w14:textId="77777777" w:rsidR="002C66C8" w:rsidRDefault="002C66C8" w:rsidP="004717E5">
      <w:pPr>
        <w:spacing w:line="240" w:lineRule="auto"/>
        <w:rPr>
          <w:rFonts w:cs="Arial"/>
          <w:sz w:val="22"/>
          <w:szCs w:val="22"/>
        </w:rPr>
      </w:pPr>
    </w:p>
    <w:p w14:paraId="6A67AE57" w14:textId="6B8A7F9F" w:rsidR="002C66C8" w:rsidRDefault="002C66C8" w:rsidP="004717E5">
      <w:pPr>
        <w:spacing w:line="240" w:lineRule="auto"/>
        <w:rPr>
          <w:rFonts w:cs="Arial"/>
          <w:sz w:val="22"/>
          <w:szCs w:val="22"/>
        </w:rPr>
      </w:pPr>
      <w:r>
        <w:rPr>
          <w:sz w:val="22"/>
          <w:szCs w:val="22"/>
        </w:rPr>
        <w:t xml:space="preserve">From time to time the </w:t>
      </w:r>
      <w:r w:rsidR="0039310B">
        <w:rPr>
          <w:sz w:val="22"/>
          <w:szCs w:val="22"/>
        </w:rPr>
        <w:t>Investment A</w:t>
      </w:r>
      <w:r>
        <w:rPr>
          <w:sz w:val="22"/>
          <w:szCs w:val="22"/>
        </w:rPr>
        <w:t xml:space="preserve">dviser may recommend changes to the composition of </w:t>
      </w:r>
      <w:r w:rsidR="0039310B">
        <w:rPr>
          <w:sz w:val="22"/>
          <w:szCs w:val="22"/>
        </w:rPr>
        <w:t xml:space="preserve">the balance of funds </w:t>
      </w:r>
      <w:r w:rsidR="0042636C">
        <w:rPr>
          <w:sz w:val="22"/>
          <w:szCs w:val="22"/>
        </w:rPr>
        <w:t xml:space="preserve">which </w:t>
      </w:r>
      <w:r>
        <w:rPr>
          <w:sz w:val="22"/>
          <w:szCs w:val="22"/>
        </w:rPr>
        <w:t xml:space="preserve">will be considered by the Trustees before being implemented. The Trustees </w:t>
      </w:r>
      <w:r w:rsidR="00CB6243">
        <w:rPr>
          <w:sz w:val="22"/>
          <w:szCs w:val="22"/>
        </w:rPr>
        <w:t>have delegated to</w:t>
      </w:r>
      <w:r>
        <w:rPr>
          <w:sz w:val="22"/>
          <w:szCs w:val="22"/>
        </w:rPr>
        <w:t xml:space="preserve"> St James’s Place Wealth Management </w:t>
      </w:r>
      <w:r w:rsidR="00CB6243">
        <w:rPr>
          <w:sz w:val="22"/>
          <w:szCs w:val="22"/>
        </w:rPr>
        <w:t xml:space="preserve">decisions regarding which managers to appoint within each fund and the term of each manager’s appointment. They </w:t>
      </w:r>
      <w:r w:rsidR="0039310B">
        <w:rPr>
          <w:sz w:val="22"/>
          <w:szCs w:val="22"/>
        </w:rPr>
        <w:t xml:space="preserve">implement changes to the </w:t>
      </w:r>
      <w:r w:rsidR="00FD5119">
        <w:rPr>
          <w:sz w:val="22"/>
          <w:szCs w:val="22"/>
        </w:rPr>
        <w:t>individual fund managers</w:t>
      </w:r>
      <w:r w:rsidR="00684A9C">
        <w:rPr>
          <w:sz w:val="22"/>
          <w:szCs w:val="22"/>
        </w:rPr>
        <w:t xml:space="preserve"> when considered necessary for performance or other reasons</w:t>
      </w:r>
      <w:r w:rsidR="00FD5119">
        <w:rPr>
          <w:sz w:val="22"/>
          <w:szCs w:val="22"/>
        </w:rPr>
        <w:t xml:space="preserve">, and the Investment Adviser keeps the Trustees informed of such changes </w:t>
      </w:r>
      <w:r w:rsidR="00684A9C">
        <w:rPr>
          <w:sz w:val="22"/>
          <w:szCs w:val="22"/>
        </w:rPr>
        <w:t xml:space="preserve">and the reasons for them </w:t>
      </w:r>
      <w:r w:rsidR="00FD5119">
        <w:rPr>
          <w:sz w:val="22"/>
          <w:szCs w:val="22"/>
        </w:rPr>
        <w:t>at their semi-annual review meetings.</w:t>
      </w:r>
    </w:p>
    <w:p w14:paraId="26983A44" w14:textId="56658B5E" w:rsidR="002C66C8" w:rsidRDefault="002C66C8" w:rsidP="004717E5">
      <w:pPr>
        <w:spacing w:line="240" w:lineRule="auto"/>
        <w:rPr>
          <w:rFonts w:cs="Arial"/>
          <w:sz w:val="22"/>
          <w:szCs w:val="22"/>
        </w:rPr>
      </w:pPr>
    </w:p>
    <w:p w14:paraId="29B577AC" w14:textId="5D53560A" w:rsidR="00014858" w:rsidRDefault="00014858" w:rsidP="00014858">
      <w:pPr>
        <w:pStyle w:val="Heading1"/>
        <w:spacing w:before="0" w:after="0" w:line="240" w:lineRule="auto"/>
        <w:rPr>
          <w:bCs w:val="0"/>
          <w:color w:val="auto"/>
          <w:spacing w:val="0"/>
          <w:kern w:val="0"/>
          <w:sz w:val="22"/>
          <w:szCs w:val="22"/>
        </w:rPr>
      </w:pPr>
      <w:r>
        <w:rPr>
          <w:bCs w:val="0"/>
          <w:color w:val="auto"/>
          <w:spacing w:val="0"/>
          <w:kern w:val="0"/>
          <w:sz w:val="22"/>
          <w:szCs w:val="22"/>
        </w:rPr>
        <w:t xml:space="preserve">The cash flow requirements of the Scheme </w:t>
      </w:r>
      <w:r w:rsidR="00B329B6">
        <w:rPr>
          <w:bCs w:val="0"/>
          <w:color w:val="auto"/>
          <w:spacing w:val="0"/>
          <w:kern w:val="0"/>
          <w:sz w:val="22"/>
          <w:szCs w:val="22"/>
        </w:rPr>
        <w:t>are</w:t>
      </w:r>
      <w:r>
        <w:rPr>
          <w:bCs w:val="0"/>
          <w:color w:val="auto"/>
          <w:spacing w:val="0"/>
          <w:kern w:val="0"/>
          <w:sz w:val="22"/>
          <w:szCs w:val="22"/>
        </w:rPr>
        <w:t xml:space="preserve"> met by periodic disinvestments from the </w:t>
      </w:r>
      <w:r w:rsidR="0021463E">
        <w:rPr>
          <w:bCs w:val="0"/>
          <w:color w:val="auto"/>
          <w:spacing w:val="0"/>
          <w:kern w:val="0"/>
          <w:sz w:val="22"/>
          <w:szCs w:val="22"/>
        </w:rPr>
        <w:t>DB</w:t>
      </w:r>
      <w:r>
        <w:rPr>
          <w:bCs w:val="0"/>
          <w:color w:val="auto"/>
          <w:spacing w:val="0"/>
          <w:kern w:val="0"/>
          <w:sz w:val="22"/>
          <w:szCs w:val="22"/>
        </w:rPr>
        <w:t xml:space="preserve"> fund on the following basis:</w:t>
      </w:r>
    </w:p>
    <w:p w14:paraId="31BCD422" w14:textId="3D2551F9" w:rsidR="00014858" w:rsidRDefault="00014858" w:rsidP="00FF45A9">
      <w:pPr>
        <w:pStyle w:val="Heading1"/>
        <w:numPr>
          <w:ilvl w:val="0"/>
          <w:numId w:val="26"/>
        </w:numPr>
        <w:spacing w:before="0" w:after="0" w:line="240" w:lineRule="auto"/>
        <w:rPr>
          <w:bCs w:val="0"/>
          <w:color w:val="auto"/>
          <w:spacing w:val="0"/>
          <w:kern w:val="0"/>
          <w:sz w:val="22"/>
          <w:szCs w:val="22"/>
        </w:rPr>
      </w:pPr>
      <w:r>
        <w:rPr>
          <w:bCs w:val="0"/>
          <w:color w:val="auto"/>
          <w:spacing w:val="0"/>
          <w:kern w:val="0"/>
          <w:sz w:val="22"/>
          <w:szCs w:val="22"/>
        </w:rPr>
        <w:t xml:space="preserve">Funds that have achieved </w:t>
      </w:r>
      <w:r w:rsidR="00A460B2">
        <w:rPr>
          <w:bCs w:val="0"/>
          <w:color w:val="auto"/>
          <w:spacing w:val="0"/>
          <w:kern w:val="0"/>
          <w:sz w:val="22"/>
          <w:szCs w:val="22"/>
        </w:rPr>
        <w:t>excess</w:t>
      </w:r>
      <w:r>
        <w:rPr>
          <w:bCs w:val="0"/>
          <w:color w:val="auto"/>
          <w:spacing w:val="0"/>
          <w:kern w:val="0"/>
          <w:sz w:val="22"/>
          <w:szCs w:val="22"/>
        </w:rPr>
        <w:t xml:space="preserve"> growth causing their proportion to exceed the benchmark shown </w:t>
      </w:r>
      <w:r w:rsidR="00B329B6">
        <w:rPr>
          <w:bCs w:val="0"/>
          <w:color w:val="auto"/>
          <w:spacing w:val="0"/>
          <w:kern w:val="0"/>
          <w:sz w:val="22"/>
          <w:szCs w:val="22"/>
        </w:rPr>
        <w:t>above;</w:t>
      </w:r>
    </w:p>
    <w:p w14:paraId="3422DD3E" w14:textId="1782A1D2" w:rsidR="00014858" w:rsidRPr="006F146D" w:rsidRDefault="00014858" w:rsidP="00FF45A9">
      <w:pPr>
        <w:pStyle w:val="ListParagraph"/>
        <w:numPr>
          <w:ilvl w:val="0"/>
          <w:numId w:val="26"/>
        </w:numPr>
      </w:pPr>
      <w:r>
        <w:rPr>
          <w:rFonts w:ascii="Arial" w:hAnsi="Arial" w:cs="Arial"/>
        </w:rPr>
        <w:t xml:space="preserve">A pro-rata divestment from all </w:t>
      </w:r>
      <w:r w:rsidR="00B329B6">
        <w:rPr>
          <w:rFonts w:ascii="Arial" w:hAnsi="Arial" w:cs="Arial"/>
        </w:rPr>
        <w:t>f</w:t>
      </w:r>
      <w:r>
        <w:rPr>
          <w:rFonts w:ascii="Arial" w:hAnsi="Arial" w:cs="Arial"/>
        </w:rPr>
        <w:t>unds.</w:t>
      </w:r>
    </w:p>
    <w:p w14:paraId="388E528A" w14:textId="68D1DC2C" w:rsidR="00014858" w:rsidRPr="006F146D" w:rsidRDefault="00014858" w:rsidP="00014858">
      <w:pPr>
        <w:rPr>
          <w:rFonts w:cs="Arial"/>
          <w:sz w:val="22"/>
          <w:szCs w:val="22"/>
        </w:rPr>
      </w:pPr>
      <w:r w:rsidRPr="006F146D">
        <w:rPr>
          <w:rFonts w:cs="Arial"/>
          <w:sz w:val="22"/>
          <w:szCs w:val="22"/>
        </w:rPr>
        <w:t>Disinvestments may be held as money market deposits within the assets managed by St James’s Place Wealth Management until needed to pay benefits</w:t>
      </w:r>
      <w:r>
        <w:rPr>
          <w:rFonts w:cs="Arial"/>
          <w:sz w:val="22"/>
          <w:szCs w:val="22"/>
        </w:rPr>
        <w:t xml:space="preserve"> or expenses</w:t>
      </w:r>
      <w:r w:rsidRPr="006F146D">
        <w:rPr>
          <w:rFonts w:cs="Arial"/>
          <w:sz w:val="22"/>
          <w:szCs w:val="22"/>
        </w:rPr>
        <w:t xml:space="preserve">. The Investment Advisers monitor </w:t>
      </w:r>
      <w:r w:rsidR="004B2DCD">
        <w:rPr>
          <w:rFonts w:cs="Arial"/>
          <w:sz w:val="22"/>
          <w:szCs w:val="22"/>
        </w:rPr>
        <w:t>change</w:t>
      </w:r>
      <w:r w:rsidRPr="006F146D">
        <w:rPr>
          <w:rFonts w:cs="Arial"/>
          <w:sz w:val="22"/>
          <w:szCs w:val="22"/>
        </w:rPr>
        <w:t xml:space="preserve">s in the </w:t>
      </w:r>
      <w:r w:rsidR="00B329B6">
        <w:rPr>
          <w:rFonts w:cs="Arial"/>
          <w:sz w:val="22"/>
          <w:szCs w:val="22"/>
        </w:rPr>
        <w:t>fund</w:t>
      </w:r>
      <w:r w:rsidRPr="006F146D">
        <w:rPr>
          <w:rFonts w:cs="Arial"/>
          <w:sz w:val="22"/>
          <w:szCs w:val="22"/>
        </w:rPr>
        <w:t xml:space="preserve"> </w:t>
      </w:r>
      <w:r w:rsidR="004B2DCD">
        <w:rPr>
          <w:rFonts w:cs="Arial"/>
          <w:sz w:val="22"/>
          <w:szCs w:val="22"/>
        </w:rPr>
        <w:t xml:space="preserve">each </w:t>
      </w:r>
      <w:r w:rsidRPr="006F146D">
        <w:rPr>
          <w:rFonts w:cs="Arial"/>
          <w:sz w:val="22"/>
          <w:szCs w:val="22"/>
        </w:rPr>
        <w:t>month</w:t>
      </w:r>
      <w:r w:rsidR="004B2DCD">
        <w:rPr>
          <w:rFonts w:cs="Arial"/>
          <w:sz w:val="22"/>
          <w:szCs w:val="22"/>
        </w:rPr>
        <w:t>. I</w:t>
      </w:r>
      <w:r w:rsidRPr="006F146D">
        <w:rPr>
          <w:rFonts w:cs="Arial"/>
          <w:sz w:val="22"/>
          <w:szCs w:val="22"/>
        </w:rPr>
        <w:t xml:space="preserve">f the </w:t>
      </w:r>
      <w:r w:rsidR="00B329B6">
        <w:rPr>
          <w:rFonts w:cs="Arial"/>
          <w:sz w:val="22"/>
          <w:szCs w:val="22"/>
        </w:rPr>
        <w:t xml:space="preserve">total </w:t>
      </w:r>
      <w:r w:rsidR="0021463E">
        <w:rPr>
          <w:rFonts w:cs="Arial"/>
          <w:sz w:val="22"/>
          <w:szCs w:val="22"/>
        </w:rPr>
        <w:t>DB F</w:t>
      </w:r>
      <w:r w:rsidR="00B329B6">
        <w:rPr>
          <w:rFonts w:cs="Arial"/>
          <w:sz w:val="22"/>
          <w:szCs w:val="22"/>
        </w:rPr>
        <w:t>und (excluding money market deposits)</w:t>
      </w:r>
      <w:r w:rsidRPr="006F146D">
        <w:rPr>
          <w:rFonts w:cs="Arial"/>
          <w:sz w:val="22"/>
          <w:szCs w:val="22"/>
        </w:rPr>
        <w:t xml:space="preserve"> exceeds £</w:t>
      </w:r>
      <w:r w:rsidR="00213A65">
        <w:rPr>
          <w:rFonts w:cs="Arial"/>
          <w:sz w:val="22"/>
          <w:szCs w:val="22"/>
        </w:rPr>
        <w:t>350k</w:t>
      </w:r>
      <w:r w:rsidRPr="006F146D">
        <w:rPr>
          <w:rFonts w:cs="Arial"/>
          <w:sz w:val="22"/>
          <w:szCs w:val="22"/>
        </w:rPr>
        <w:t xml:space="preserve">, </w:t>
      </w:r>
      <w:r w:rsidR="00FF0D03">
        <w:rPr>
          <w:rFonts w:cs="Arial"/>
          <w:sz w:val="22"/>
          <w:szCs w:val="22"/>
        </w:rPr>
        <w:t xml:space="preserve">the Trustees will consider making </w:t>
      </w:r>
      <w:r w:rsidRPr="006F146D">
        <w:rPr>
          <w:rFonts w:cs="Arial"/>
          <w:sz w:val="22"/>
          <w:szCs w:val="22"/>
        </w:rPr>
        <w:t xml:space="preserve">an interim disinvestment to realise the growth and </w:t>
      </w:r>
      <w:r w:rsidR="00FF0D03">
        <w:rPr>
          <w:rFonts w:cs="Arial"/>
          <w:sz w:val="22"/>
          <w:szCs w:val="22"/>
        </w:rPr>
        <w:t xml:space="preserve">deposit it </w:t>
      </w:r>
      <w:r w:rsidR="004B2DCD">
        <w:rPr>
          <w:rFonts w:cs="Arial"/>
          <w:sz w:val="22"/>
          <w:szCs w:val="22"/>
        </w:rPr>
        <w:t>in the</w:t>
      </w:r>
      <w:r w:rsidRPr="006F146D">
        <w:rPr>
          <w:rFonts w:cs="Arial"/>
          <w:sz w:val="22"/>
          <w:szCs w:val="22"/>
        </w:rPr>
        <w:t xml:space="preserve"> money market </w:t>
      </w:r>
      <w:r w:rsidR="004B2DCD">
        <w:rPr>
          <w:rFonts w:cs="Arial"/>
          <w:sz w:val="22"/>
          <w:szCs w:val="22"/>
        </w:rPr>
        <w:t xml:space="preserve">fund </w:t>
      </w:r>
      <w:r w:rsidRPr="006F146D">
        <w:rPr>
          <w:rFonts w:cs="Arial"/>
          <w:sz w:val="22"/>
          <w:szCs w:val="22"/>
        </w:rPr>
        <w:t>until required to pay benefits</w:t>
      </w:r>
      <w:r w:rsidR="004B2DCD">
        <w:rPr>
          <w:rFonts w:cs="Arial"/>
          <w:sz w:val="22"/>
          <w:szCs w:val="22"/>
        </w:rPr>
        <w:t xml:space="preserve"> or expenses.</w:t>
      </w:r>
    </w:p>
    <w:p w14:paraId="470148C1" w14:textId="77777777" w:rsidR="00014858" w:rsidRDefault="00014858" w:rsidP="00014858">
      <w:pPr>
        <w:pStyle w:val="Heading1"/>
        <w:spacing w:before="0" w:after="0" w:line="240" w:lineRule="auto"/>
        <w:rPr>
          <w:bCs w:val="0"/>
          <w:color w:val="auto"/>
          <w:spacing w:val="0"/>
          <w:kern w:val="0"/>
          <w:sz w:val="22"/>
          <w:szCs w:val="22"/>
        </w:rPr>
      </w:pPr>
    </w:p>
    <w:p w14:paraId="1750FF0A" w14:textId="0C2F21A7" w:rsidR="00014858" w:rsidRDefault="00014858" w:rsidP="00014858">
      <w:pPr>
        <w:pStyle w:val="Heading1"/>
        <w:spacing w:before="0" w:after="0" w:line="240" w:lineRule="auto"/>
        <w:rPr>
          <w:bCs w:val="0"/>
          <w:color w:val="auto"/>
          <w:spacing w:val="0"/>
          <w:kern w:val="0"/>
          <w:sz w:val="22"/>
          <w:szCs w:val="22"/>
        </w:rPr>
      </w:pPr>
      <w:r>
        <w:rPr>
          <w:bCs w:val="0"/>
          <w:color w:val="auto"/>
          <w:spacing w:val="0"/>
          <w:kern w:val="0"/>
          <w:sz w:val="22"/>
          <w:szCs w:val="22"/>
        </w:rPr>
        <w:t xml:space="preserve">The Trustees will take advice from the Investment Adviser as to where </w:t>
      </w:r>
      <w:r w:rsidR="004B2DCD">
        <w:rPr>
          <w:bCs w:val="0"/>
          <w:color w:val="auto"/>
          <w:spacing w:val="0"/>
          <w:kern w:val="0"/>
          <w:sz w:val="22"/>
          <w:szCs w:val="22"/>
        </w:rPr>
        <w:t>all</w:t>
      </w:r>
      <w:r>
        <w:rPr>
          <w:bCs w:val="0"/>
          <w:color w:val="auto"/>
          <w:spacing w:val="0"/>
          <w:kern w:val="0"/>
          <w:sz w:val="22"/>
          <w:szCs w:val="22"/>
        </w:rPr>
        <w:t xml:space="preserve"> divestments should be taken from. The Trustees meet the Investment Adviser at least twice a year when </w:t>
      </w:r>
      <w:r>
        <w:rPr>
          <w:bCs w:val="0"/>
          <w:color w:val="auto"/>
          <w:spacing w:val="0"/>
          <w:kern w:val="0"/>
          <w:sz w:val="22"/>
          <w:szCs w:val="22"/>
        </w:rPr>
        <w:lastRenderedPageBreak/>
        <w:t xml:space="preserve">they consider whether any rebalancing of the funds </w:t>
      </w:r>
      <w:r w:rsidR="00213A65">
        <w:rPr>
          <w:bCs w:val="0"/>
          <w:color w:val="auto"/>
          <w:spacing w:val="0"/>
          <w:kern w:val="0"/>
          <w:sz w:val="22"/>
          <w:szCs w:val="22"/>
        </w:rPr>
        <w:t xml:space="preserve">within the DB and DC Funds </w:t>
      </w:r>
      <w:r>
        <w:rPr>
          <w:bCs w:val="0"/>
          <w:color w:val="auto"/>
          <w:spacing w:val="0"/>
          <w:kern w:val="0"/>
          <w:sz w:val="22"/>
          <w:szCs w:val="22"/>
        </w:rPr>
        <w:t>is necessary to maintain the overall balance in line with the SIP.</w:t>
      </w:r>
    </w:p>
    <w:p w14:paraId="1954DDD4" w14:textId="77777777" w:rsidR="00014858" w:rsidRDefault="00014858" w:rsidP="00014858">
      <w:pPr>
        <w:pStyle w:val="Heading1"/>
        <w:spacing w:before="0" w:after="0" w:line="240" w:lineRule="auto"/>
        <w:rPr>
          <w:bCs w:val="0"/>
          <w:color w:val="auto"/>
          <w:spacing w:val="0"/>
          <w:kern w:val="0"/>
          <w:sz w:val="22"/>
          <w:szCs w:val="22"/>
        </w:rPr>
      </w:pPr>
    </w:p>
    <w:p w14:paraId="5090DD7E" w14:textId="3A2A3DD9" w:rsidR="007B23CF" w:rsidRDefault="007B23CF" w:rsidP="007B23CF">
      <w:pPr>
        <w:pStyle w:val="Heading1"/>
        <w:spacing w:before="0" w:after="0" w:line="240" w:lineRule="auto"/>
        <w:rPr>
          <w:b/>
          <w:color w:val="auto"/>
          <w:sz w:val="22"/>
          <w:szCs w:val="22"/>
        </w:rPr>
      </w:pPr>
      <w:r>
        <w:rPr>
          <w:b/>
          <w:color w:val="auto"/>
          <w:sz w:val="22"/>
          <w:szCs w:val="22"/>
        </w:rPr>
        <w:t xml:space="preserve">Monitoring of Investment </w:t>
      </w:r>
      <w:r w:rsidR="00194DB6">
        <w:rPr>
          <w:b/>
          <w:color w:val="auto"/>
          <w:sz w:val="22"/>
          <w:szCs w:val="22"/>
        </w:rPr>
        <w:t xml:space="preserve">Managers and their </w:t>
      </w:r>
      <w:r>
        <w:rPr>
          <w:b/>
          <w:color w:val="auto"/>
          <w:sz w:val="22"/>
          <w:szCs w:val="22"/>
        </w:rPr>
        <w:t>Performance</w:t>
      </w:r>
    </w:p>
    <w:p w14:paraId="608E03A3" w14:textId="77777777" w:rsidR="007B23CF" w:rsidRDefault="007B23CF" w:rsidP="007B23CF">
      <w:pPr>
        <w:pStyle w:val="Heading1"/>
        <w:spacing w:before="0" w:after="0" w:line="240" w:lineRule="auto"/>
        <w:rPr>
          <w:b/>
          <w:color w:val="auto"/>
          <w:sz w:val="22"/>
          <w:szCs w:val="22"/>
        </w:rPr>
      </w:pPr>
    </w:p>
    <w:p w14:paraId="432E6E63" w14:textId="12979D44" w:rsidR="007B23CF" w:rsidRDefault="007B23CF" w:rsidP="007B23CF">
      <w:pPr>
        <w:pStyle w:val="Heading1"/>
        <w:spacing w:before="0" w:after="0" w:line="240" w:lineRule="auto"/>
        <w:rPr>
          <w:color w:val="auto"/>
          <w:sz w:val="22"/>
          <w:szCs w:val="22"/>
        </w:rPr>
      </w:pPr>
      <w:r>
        <w:rPr>
          <w:color w:val="auto"/>
          <w:sz w:val="22"/>
          <w:szCs w:val="22"/>
        </w:rPr>
        <w:t xml:space="preserve">Day-to-day monitoring of the investment managers </w:t>
      </w:r>
      <w:r w:rsidR="00194DB6">
        <w:rPr>
          <w:color w:val="auto"/>
          <w:sz w:val="22"/>
          <w:szCs w:val="22"/>
        </w:rPr>
        <w:t xml:space="preserve">and their performance </w:t>
      </w:r>
      <w:r>
        <w:rPr>
          <w:color w:val="auto"/>
          <w:sz w:val="22"/>
          <w:szCs w:val="22"/>
        </w:rPr>
        <w:t>is undertaken by St James’s Place Wealth Management. Specific individual benchmarks have been set as part of this process.</w:t>
      </w:r>
    </w:p>
    <w:p w14:paraId="5D78E443" w14:textId="77777777" w:rsidR="004B2DCD" w:rsidRPr="004B2DCD" w:rsidRDefault="004B2DCD" w:rsidP="004B2DCD"/>
    <w:p w14:paraId="274CBEDB" w14:textId="55E9285D" w:rsidR="00194DB6" w:rsidRPr="00194DB6" w:rsidRDefault="00995699" w:rsidP="00194DB6">
      <w:pPr>
        <w:pStyle w:val="Heading1"/>
        <w:spacing w:before="0" w:after="0" w:line="240" w:lineRule="auto"/>
        <w:rPr>
          <w:color w:val="auto"/>
          <w:sz w:val="22"/>
          <w:szCs w:val="22"/>
        </w:rPr>
      </w:pPr>
      <w:r>
        <w:rPr>
          <w:color w:val="auto"/>
          <w:sz w:val="22"/>
          <w:szCs w:val="22"/>
        </w:rPr>
        <w:t>Semi-annually,</w:t>
      </w:r>
      <w:r w:rsidR="00737CC8">
        <w:rPr>
          <w:color w:val="auto"/>
          <w:sz w:val="22"/>
          <w:szCs w:val="22"/>
        </w:rPr>
        <w:t xml:space="preserve"> t</w:t>
      </w:r>
      <w:r w:rsidR="004A5B29">
        <w:rPr>
          <w:color w:val="auto"/>
          <w:sz w:val="22"/>
          <w:szCs w:val="22"/>
        </w:rPr>
        <w:t xml:space="preserve">he </w:t>
      </w:r>
      <w:r w:rsidR="00A460B2">
        <w:rPr>
          <w:color w:val="auto"/>
          <w:sz w:val="22"/>
          <w:szCs w:val="22"/>
        </w:rPr>
        <w:t>I</w:t>
      </w:r>
      <w:r w:rsidR="00737CC8">
        <w:rPr>
          <w:color w:val="auto"/>
          <w:sz w:val="22"/>
          <w:szCs w:val="22"/>
        </w:rPr>
        <w:t xml:space="preserve">nvestment </w:t>
      </w:r>
      <w:r w:rsidR="00A460B2">
        <w:rPr>
          <w:color w:val="auto"/>
          <w:sz w:val="22"/>
          <w:szCs w:val="22"/>
        </w:rPr>
        <w:t>A</w:t>
      </w:r>
      <w:r w:rsidR="00737CC8">
        <w:rPr>
          <w:color w:val="auto"/>
          <w:sz w:val="22"/>
          <w:szCs w:val="22"/>
        </w:rPr>
        <w:t xml:space="preserve">dviser will provide to the </w:t>
      </w:r>
      <w:r w:rsidR="004A5B29">
        <w:rPr>
          <w:color w:val="auto"/>
          <w:sz w:val="22"/>
          <w:szCs w:val="22"/>
        </w:rPr>
        <w:t xml:space="preserve">Trustees reports on the performance of </w:t>
      </w:r>
      <w:r w:rsidR="0042636C">
        <w:rPr>
          <w:color w:val="auto"/>
          <w:sz w:val="22"/>
          <w:szCs w:val="22"/>
        </w:rPr>
        <w:t>funds</w:t>
      </w:r>
      <w:r w:rsidR="004A5B29">
        <w:rPr>
          <w:color w:val="auto"/>
          <w:sz w:val="22"/>
          <w:szCs w:val="22"/>
        </w:rPr>
        <w:t xml:space="preserve"> which will allow the</w:t>
      </w:r>
      <w:r w:rsidR="00737CC8">
        <w:rPr>
          <w:color w:val="auto"/>
          <w:sz w:val="22"/>
          <w:szCs w:val="22"/>
        </w:rPr>
        <w:t xml:space="preserve"> Trustees</w:t>
      </w:r>
      <w:r w:rsidR="004A5B29">
        <w:rPr>
          <w:color w:val="auto"/>
          <w:sz w:val="22"/>
          <w:szCs w:val="22"/>
        </w:rPr>
        <w:t xml:space="preserve"> to monitor the</w:t>
      </w:r>
      <w:r w:rsidR="0042636C">
        <w:rPr>
          <w:color w:val="auto"/>
          <w:sz w:val="22"/>
          <w:szCs w:val="22"/>
        </w:rPr>
        <w:t>ir</w:t>
      </w:r>
      <w:r w:rsidR="004A5B29">
        <w:rPr>
          <w:color w:val="auto"/>
          <w:sz w:val="22"/>
          <w:szCs w:val="22"/>
        </w:rPr>
        <w:t xml:space="preserve"> </w:t>
      </w:r>
      <w:r w:rsidR="00737CC8">
        <w:rPr>
          <w:color w:val="auto"/>
          <w:sz w:val="22"/>
          <w:szCs w:val="22"/>
        </w:rPr>
        <w:t>performance against their overall investment objective.</w:t>
      </w:r>
      <w:r>
        <w:rPr>
          <w:color w:val="auto"/>
          <w:sz w:val="22"/>
          <w:szCs w:val="22"/>
        </w:rPr>
        <w:t xml:space="preserve"> </w:t>
      </w:r>
      <w:r w:rsidRPr="00995699">
        <w:rPr>
          <w:color w:val="auto"/>
          <w:sz w:val="22"/>
          <w:szCs w:val="22"/>
        </w:rPr>
        <w:t>They monitor the actual return achieved by the Scheme</w:t>
      </w:r>
      <w:r w:rsidR="004B2DCD">
        <w:rPr>
          <w:color w:val="auto"/>
          <w:sz w:val="22"/>
          <w:szCs w:val="22"/>
        </w:rPr>
        <w:t>’s assets</w:t>
      </w:r>
      <w:r w:rsidRPr="00995699">
        <w:rPr>
          <w:color w:val="auto"/>
          <w:sz w:val="22"/>
          <w:szCs w:val="22"/>
        </w:rPr>
        <w:t xml:space="preserve"> against a benchmark of the returns earned by comparable funds prepared by Asset Risk Consultants PCI </w:t>
      </w:r>
      <w:r>
        <w:rPr>
          <w:color w:val="auto"/>
          <w:sz w:val="22"/>
          <w:szCs w:val="22"/>
        </w:rPr>
        <w:t>(“ARC”)</w:t>
      </w:r>
      <w:r w:rsidR="0042636C">
        <w:rPr>
          <w:color w:val="auto"/>
          <w:sz w:val="22"/>
          <w:szCs w:val="22"/>
        </w:rPr>
        <w:t>,</w:t>
      </w:r>
      <w:r>
        <w:rPr>
          <w:color w:val="auto"/>
          <w:sz w:val="22"/>
          <w:szCs w:val="22"/>
        </w:rPr>
        <w:t xml:space="preserve"> </w:t>
      </w:r>
      <w:r w:rsidR="0021463E">
        <w:rPr>
          <w:color w:val="auto"/>
          <w:sz w:val="22"/>
          <w:szCs w:val="22"/>
        </w:rPr>
        <w:t xml:space="preserve">being </w:t>
      </w:r>
      <w:r>
        <w:rPr>
          <w:color w:val="auto"/>
          <w:sz w:val="22"/>
          <w:szCs w:val="22"/>
        </w:rPr>
        <w:t>the ARC sterling cautious fund</w:t>
      </w:r>
      <w:r w:rsidR="0021463E">
        <w:rPr>
          <w:color w:val="auto"/>
          <w:sz w:val="22"/>
          <w:szCs w:val="22"/>
        </w:rPr>
        <w:t xml:space="preserve"> for the DB Fund and </w:t>
      </w:r>
      <w:r w:rsidR="004A651C">
        <w:rPr>
          <w:color w:val="auto"/>
          <w:sz w:val="22"/>
          <w:szCs w:val="22"/>
        </w:rPr>
        <w:t>the ARC equity risk fund</w:t>
      </w:r>
      <w:r w:rsidR="0021463E">
        <w:rPr>
          <w:color w:val="auto"/>
          <w:sz w:val="22"/>
          <w:szCs w:val="22"/>
        </w:rPr>
        <w:t xml:space="preserve"> for the DC Fund</w:t>
      </w:r>
      <w:r>
        <w:rPr>
          <w:color w:val="auto"/>
          <w:sz w:val="22"/>
          <w:szCs w:val="22"/>
        </w:rPr>
        <w:t>.</w:t>
      </w:r>
      <w:r w:rsidR="00A460B2">
        <w:rPr>
          <w:color w:val="auto"/>
          <w:sz w:val="22"/>
          <w:szCs w:val="22"/>
        </w:rPr>
        <w:t xml:space="preserve"> Between semi-annual meetings, the Trustees receive monthly updates on the changes in investment valuations from the Investment Adviser.</w:t>
      </w:r>
    </w:p>
    <w:p w14:paraId="5C164E13" w14:textId="77777777" w:rsidR="00C07431" w:rsidRDefault="00C07431" w:rsidP="0086392B">
      <w:pPr>
        <w:pStyle w:val="Heading1"/>
        <w:spacing w:before="0" w:after="0" w:line="240" w:lineRule="auto"/>
        <w:rPr>
          <w:color w:val="auto"/>
          <w:sz w:val="22"/>
          <w:szCs w:val="22"/>
        </w:rPr>
      </w:pPr>
    </w:p>
    <w:p w14:paraId="5EBE2091" w14:textId="77777777" w:rsidR="00C07431" w:rsidRDefault="00C07431" w:rsidP="002C66C8">
      <w:pPr>
        <w:pStyle w:val="Heading3"/>
      </w:pPr>
    </w:p>
    <w:p w14:paraId="3EF44992" w14:textId="4201B4AA" w:rsidR="002C66C8" w:rsidRDefault="002C66C8" w:rsidP="002C66C8">
      <w:pPr>
        <w:spacing w:line="240" w:lineRule="auto"/>
        <w:rPr>
          <w:rFonts w:cs="Arial"/>
          <w:sz w:val="22"/>
          <w:szCs w:val="22"/>
        </w:rPr>
      </w:pPr>
      <w:r>
        <w:rPr>
          <w:rFonts w:cs="Arial"/>
          <w:b/>
          <w:sz w:val="22"/>
          <w:szCs w:val="22"/>
        </w:rPr>
        <w:t xml:space="preserve">Investment Management and </w:t>
      </w:r>
      <w:r w:rsidR="00D56B08">
        <w:rPr>
          <w:rFonts w:cs="Arial"/>
          <w:b/>
          <w:sz w:val="22"/>
          <w:szCs w:val="22"/>
        </w:rPr>
        <w:t xml:space="preserve">Incentive Costs, </w:t>
      </w:r>
      <w:r>
        <w:rPr>
          <w:rFonts w:cs="Arial"/>
          <w:b/>
          <w:sz w:val="22"/>
          <w:szCs w:val="22"/>
        </w:rPr>
        <w:t xml:space="preserve">Advisory </w:t>
      </w:r>
      <w:r w:rsidRPr="003B3605">
        <w:rPr>
          <w:rFonts w:cs="Arial"/>
          <w:b/>
          <w:sz w:val="22"/>
          <w:szCs w:val="22"/>
        </w:rPr>
        <w:t>Fees</w:t>
      </w:r>
      <w:r w:rsidR="000E485A">
        <w:rPr>
          <w:rFonts w:cs="Arial"/>
          <w:b/>
          <w:sz w:val="22"/>
          <w:szCs w:val="22"/>
        </w:rPr>
        <w:t xml:space="preserve"> and Transaction Costs</w:t>
      </w:r>
      <w:r w:rsidR="00D56B08">
        <w:rPr>
          <w:rFonts w:cs="Arial"/>
          <w:b/>
          <w:sz w:val="22"/>
          <w:szCs w:val="22"/>
        </w:rPr>
        <w:t xml:space="preserve"> </w:t>
      </w:r>
    </w:p>
    <w:p w14:paraId="3CB73949" w14:textId="77777777" w:rsidR="002C66C8" w:rsidRDefault="002C66C8" w:rsidP="002C66C8">
      <w:pPr>
        <w:spacing w:line="240" w:lineRule="auto"/>
        <w:rPr>
          <w:rFonts w:cs="Arial"/>
          <w:sz w:val="22"/>
          <w:szCs w:val="22"/>
        </w:rPr>
      </w:pPr>
    </w:p>
    <w:p w14:paraId="354DFB8B" w14:textId="5B00FB7D" w:rsidR="00B32244" w:rsidRDefault="00D56B08" w:rsidP="002C66C8">
      <w:pPr>
        <w:spacing w:line="240" w:lineRule="auto"/>
        <w:rPr>
          <w:rFonts w:cs="Arial"/>
          <w:sz w:val="22"/>
          <w:szCs w:val="22"/>
        </w:rPr>
      </w:pPr>
      <w:r w:rsidRPr="00D56B08">
        <w:rPr>
          <w:rFonts w:cs="Arial"/>
          <w:sz w:val="22"/>
          <w:szCs w:val="22"/>
        </w:rPr>
        <w:t xml:space="preserve">The Scheme is charged an annual management fee by St James’s Place Wealth Management out of which all investment management fees due to St James Place and the managers of the pooled funds in which the Scheme is invested are settled, as well as the fees due to the Duley Practice for advisory services. </w:t>
      </w:r>
      <w:r w:rsidR="00BA3A86">
        <w:rPr>
          <w:rFonts w:cs="Arial"/>
          <w:sz w:val="22"/>
          <w:szCs w:val="22"/>
        </w:rPr>
        <w:t>The external management charge for the DB Fund is 0.36% pa and for the DC Fund it is 0.47% pa.</w:t>
      </w:r>
    </w:p>
    <w:p w14:paraId="73FA66BC" w14:textId="77777777" w:rsidR="00B32244" w:rsidRDefault="00B32244" w:rsidP="002C66C8">
      <w:pPr>
        <w:spacing w:line="240" w:lineRule="auto"/>
        <w:rPr>
          <w:rFonts w:cs="Arial"/>
          <w:sz w:val="22"/>
          <w:szCs w:val="22"/>
        </w:rPr>
      </w:pPr>
    </w:p>
    <w:p w14:paraId="64FC6367" w14:textId="4D707723" w:rsidR="00B32244" w:rsidRDefault="00D56B08" w:rsidP="002C66C8">
      <w:pPr>
        <w:spacing w:line="240" w:lineRule="auto"/>
        <w:rPr>
          <w:rFonts w:cs="Arial"/>
          <w:sz w:val="22"/>
          <w:szCs w:val="22"/>
        </w:rPr>
      </w:pPr>
      <w:r w:rsidRPr="00D56B08">
        <w:rPr>
          <w:rFonts w:cs="Arial"/>
          <w:sz w:val="22"/>
          <w:szCs w:val="22"/>
        </w:rPr>
        <w:t>As investments are made</w:t>
      </w:r>
      <w:r w:rsidR="00B32244">
        <w:rPr>
          <w:rFonts w:cs="Arial"/>
          <w:sz w:val="22"/>
          <w:szCs w:val="22"/>
        </w:rPr>
        <w:t xml:space="preserve"> through St James’s Place Wealth Management</w:t>
      </w:r>
      <w:r w:rsidRPr="00D56B08">
        <w:rPr>
          <w:rFonts w:cs="Arial"/>
          <w:sz w:val="22"/>
          <w:szCs w:val="22"/>
        </w:rPr>
        <w:t xml:space="preserve"> in</w:t>
      </w:r>
      <w:r w:rsidR="00B32244">
        <w:rPr>
          <w:rFonts w:cs="Arial"/>
          <w:sz w:val="22"/>
          <w:szCs w:val="22"/>
        </w:rPr>
        <w:t>to</w:t>
      </w:r>
      <w:r w:rsidRPr="00D56B08">
        <w:rPr>
          <w:rFonts w:cs="Arial"/>
          <w:sz w:val="22"/>
          <w:szCs w:val="22"/>
        </w:rPr>
        <w:t xml:space="preserve"> pooled funds with defined charges and expenses, it is not possible directly to incentivise fund managers to align investments with the Trustees’ policies, improve engagement or monitor transaction costs.  Ultimately, the Trustees only remedy is to move to an alternative pooled fund</w:t>
      </w:r>
      <w:r w:rsidR="00B32244">
        <w:rPr>
          <w:rFonts w:cs="Arial"/>
          <w:sz w:val="22"/>
          <w:szCs w:val="22"/>
        </w:rPr>
        <w:t>.</w:t>
      </w:r>
    </w:p>
    <w:p w14:paraId="5C7E59D4" w14:textId="77777777" w:rsidR="00B32244" w:rsidRDefault="00B32244" w:rsidP="002C66C8">
      <w:pPr>
        <w:spacing w:line="240" w:lineRule="auto"/>
        <w:rPr>
          <w:rFonts w:cs="Arial"/>
          <w:sz w:val="22"/>
          <w:szCs w:val="22"/>
        </w:rPr>
      </w:pPr>
    </w:p>
    <w:p w14:paraId="5C1D77CA" w14:textId="00D73E51" w:rsidR="002C66C8" w:rsidRPr="003B3605" w:rsidRDefault="000E485A" w:rsidP="002C66C8">
      <w:pPr>
        <w:spacing w:line="240" w:lineRule="auto"/>
        <w:rPr>
          <w:rFonts w:cs="Arial"/>
          <w:sz w:val="22"/>
          <w:szCs w:val="22"/>
        </w:rPr>
      </w:pPr>
      <w:r>
        <w:rPr>
          <w:rFonts w:cs="Arial"/>
          <w:sz w:val="22"/>
          <w:szCs w:val="22"/>
        </w:rPr>
        <w:t>Transaction costs are expected to average 0.2% pa</w:t>
      </w:r>
      <w:r w:rsidR="00D56B08">
        <w:rPr>
          <w:rFonts w:cs="Arial"/>
          <w:sz w:val="22"/>
          <w:szCs w:val="22"/>
        </w:rPr>
        <w:t xml:space="preserve"> and actual costs are reported annually to the Trustees by the Investment Ad</w:t>
      </w:r>
      <w:r w:rsidR="00B32244">
        <w:rPr>
          <w:rFonts w:cs="Arial"/>
          <w:sz w:val="22"/>
          <w:szCs w:val="22"/>
        </w:rPr>
        <w:t>viser</w:t>
      </w:r>
      <w:r>
        <w:rPr>
          <w:rFonts w:cs="Arial"/>
          <w:sz w:val="22"/>
          <w:szCs w:val="22"/>
        </w:rPr>
        <w:t>.</w:t>
      </w:r>
    </w:p>
    <w:p w14:paraId="71896B27" w14:textId="77777777" w:rsidR="002C66C8" w:rsidRDefault="002C66C8" w:rsidP="002C66C8">
      <w:pPr>
        <w:spacing w:line="240" w:lineRule="auto"/>
        <w:rPr>
          <w:rFonts w:cs="Arial"/>
          <w:sz w:val="22"/>
          <w:szCs w:val="22"/>
        </w:rPr>
      </w:pPr>
    </w:p>
    <w:p w14:paraId="3FE0B127" w14:textId="77777777" w:rsidR="002C66C8" w:rsidRDefault="002C66C8" w:rsidP="002C66C8">
      <w:pPr>
        <w:pStyle w:val="Heading3"/>
      </w:pPr>
    </w:p>
    <w:p w14:paraId="29F8F3EB" w14:textId="40455FD4" w:rsidR="00C07431" w:rsidRPr="002C66C8" w:rsidRDefault="00855071" w:rsidP="002C66C8">
      <w:pPr>
        <w:pStyle w:val="Heading3"/>
      </w:pPr>
      <w:r>
        <w:t>Corporate Governance and Stewardship</w:t>
      </w:r>
    </w:p>
    <w:p w14:paraId="4EB2548A" w14:textId="77777777" w:rsidR="00C07431" w:rsidRPr="009B5040" w:rsidRDefault="00C07431" w:rsidP="00C07431">
      <w:pPr>
        <w:spacing w:line="240" w:lineRule="auto"/>
        <w:contextualSpacing/>
        <w:rPr>
          <w:rFonts w:cs="Arial"/>
          <w:sz w:val="22"/>
          <w:szCs w:val="22"/>
        </w:rPr>
      </w:pPr>
    </w:p>
    <w:p w14:paraId="2A6207A1" w14:textId="26E7D1F3" w:rsidR="00C07431" w:rsidRPr="009B5040" w:rsidRDefault="00C07431" w:rsidP="00C07431">
      <w:pPr>
        <w:pStyle w:val="BodyText"/>
        <w:spacing w:after="0" w:line="240" w:lineRule="auto"/>
        <w:contextualSpacing/>
        <w:rPr>
          <w:rFonts w:cs="Arial"/>
          <w:sz w:val="22"/>
          <w:szCs w:val="22"/>
        </w:rPr>
      </w:pPr>
      <w:r w:rsidRPr="009B5040">
        <w:rPr>
          <w:rFonts w:cs="Arial"/>
          <w:sz w:val="22"/>
          <w:szCs w:val="22"/>
        </w:rPr>
        <w:t xml:space="preserve">In endeavouring to invest in </w:t>
      </w:r>
      <w:r w:rsidR="00B25352">
        <w:rPr>
          <w:rFonts w:cs="Arial"/>
          <w:sz w:val="22"/>
          <w:szCs w:val="22"/>
        </w:rPr>
        <w:t xml:space="preserve">the </w:t>
      </w:r>
      <w:r w:rsidRPr="009B5040">
        <w:rPr>
          <w:rFonts w:cs="Arial"/>
          <w:sz w:val="22"/>
          <w:szCs w:val="22"/>
        </w:rPr>
        <w:t xml:space="preserve">best financial interests of the beneficiaries, the Trustees have elected to invest through pooled funds.  </w:t>
      </w:r>
      <w:r w:rsidR="00855071">
        <w:rPr>
          <w:rFonts w:cs="Arial"/>
          <w:sz w:val="22"/>
          <w:szCs w:val="22"/>
        </w:rPr>
        <w:t>Consequently</w:t>
      </w:r>
      <w:r w:rsidR="00855071" w:rsidRPr="00855071">
        <w:rPr>
          <w:rFonts w:cs="Arial"/>
          <w:sz w:val="22"/>
          <w:szCs w:val="22"/>
        </w:rPr>
        <w:t xml:space="preserve">, direct control of the process of engaging with the companies that issue these securities, whether for corporate governance purposes or other financially material considerations, is delegated to the investment managers. </w:t>
      </w:r>
    </w:p>
    <w:p w14:paraId="0DCB68A2" w14:textId="77777777" w:rsidR="00C07431" w:rsidRPr="009B5040" w:rsidRDefault="00C07431" w:rsidP="00C07431">
      <w:pPr>
        <w:pStyle w:val="BodyText"/>
        <w:spacing w:after="0" w:line="240" w:lineRule="auto"/>
        <w:contextualSpacing/>
        <w:rPr>
          <w:rFonts w:cs="Arial"/>
          <w:sz w:val="22"/>
          <w:szCs w:val="22"/>
        </w:rPr>
      </w:pPr>
    </w:p>
    <w:p w14:paraId="3AC9FA9B" w14:textId="77777777" w:rsidR="00C07431" w:rsidRPr="009B5040" w:rsidRDefault="00C07431" w:rsidP="00C07431">
      <w:pPr>
        <w:pStyle w:val="BodyText"/>
        <w:spacing w:after="0" w:line="240" w:lineRule="auto"/>
        <w:contextualSpacing/>
        <w:rPr>
          <w:rFonts w:cs="Arial"/>
          <w:sz w:val="22"/>
          <w:szCs w:val="22"/>
        </w:rPr>
      </w:pPr>
      <w:r>
        <w:rPr>
          <w:rFonts w:cs="Arial"/>
          <w:sz w:val="22"/>
          <w:szCs w:val="22"/>
        </w:rPr>
        <w:t>The investment managers,</w:t>
      </w:r>
      <w:r w:rsidRPr="009B5040">
        <w:rPr>
          <w:rFonts w:cs="Arial"/>
          <w:sz w:val="22"/>
          <w:szCs w:val="22"/>
        </w:rPr>
        <w:t xml:space="preserve"> having clear policies of voting on all important issues on behalf of the investor’s best financial interests, have provided the </w:t>
      </w:r>
      <w:r w:rsidR="00E7499B">
        <w:rPr>
          <w:rFonts w:cs="Arial"/>
          <w:sz w:val="22"/>
          <w:szCs w:val="22"/>
        </w:rPr>
        <w:t>I</w:t>
      </w:r>
      <w:r>
        <w:rPr>
          <w:rFonts w:cs="Arial"/>
          <w:sz w:val="22"/>
          <w:szCs w:val="22"/>
        </w:rPr>
        <w:t xml:space="preserve">nvestment </w:t>
      </w:r>
      <w:r w:rsidR="00E7499B">
        <w:rPr>
          <w:rFonts w:cs="Arial"/>
          <w:sz w:val="22"/>
          <w:szCs w:val="22"/>
        </w:rPr>
        <w:t>A</w:t>
      </w:r>
      <w:r>
        <w:rPr>
          <w:rFonts w:cs="Arial"/>
          <w:sz w:val="22"/>
          <w:szCs w:val="22"/>
        </w:rPr>
        <w:t>dviser</w:t>
      </w:r>
      <w:r w:rsidRPr="009B5040">
        <w:rPr>
          <w:rFonts w:cs="Arial"/>
          <w:sz w:val="22"/>
          <w:szCs w:val="22"/>
        </w:rPr>
        <w:t xml:space="preserve"> with statements dealing with voting policy and practices</w:t>
      </w:r>
      <w:r w:rsidR="00E7499B">
        <w:rPr>
          <w:rFonts w:cs="Arial"/>
          <w:sz w:val="22"/>
          <w:szCs w:val="22"/>
        </w:rPr>
        <w:t>, who has</w:t>
      </w:r>
      <w:r>
        <w:rPr>
          <w:rFonts w:cs="Arial"/>
          <w:sz w:val="22"/>
          <w:szCs w:val="22"/>
        </w:rPr>
        <w:t xml:space="preserve"> brought these statements to the attention of the Trustees where appropriate</w:t>
      </w:r>
      <w:r w:rsidRPr="009B5040">
        <w:rPr>
          <w:rFonts w:cs="Arial"/>
          <w:sz w:val="22"/>
          <w:szCs w:val="22"/>
        </w:rPr>
        <w:t>.  The Trustees have delegated their voting rights and other such powers to the investment managers, the sole purpose of whose corporate governance policies are to protect and enhance the economic interests of clients.</w:t>
      </w:r>
    </w:p>
    <w:p w14:paraId="719FE0A8" w14:textId="5877E845" w:rsidR="007B23CF" w:rsidRDefault="007B23CF" w:rsidP="0086392B">
      <w:pPr>
        <w:pStyle w:val="Heading1"/>
        <w:spacing w:before="0" w:after="0" w:line="240" w:lineRule="auto"/>
        <w:rPr>
          <w:b/>
          <w:sz w:val="22"/>
          <w:szCs w:val="22"/>
        </w:rPr>
      </w:pPr>
    </w:p>
    <w:p w14:paraId="0B16911C" w14:textId="77777777" w:rsidR="00B0197B" w:rsidRPr="00943DA0" w:rsidRDefault="00B0197B" w:rsidP="00943DA0"/>
    <w:p w14:paraId="7A929B4A" w14:textId="17E90C93" w:rsidR="00855071" w:rsidRPr="00943DA0" w:rsidRDefault="00855071" w:rsidP="00855071">
      <w:pPr>
        <w:rPr>
          <w:b/>
          <w:bCs/>
          <w:sz w:val="22"/>
          <w:szCs w:val="22"/>
        </w:rPr>
      </w:pPr>
      <w:r w:rsidRPr="00943DA0">
        <w:rPr>
          <w:b/>
          <w:bCs/>
          <w:sz w:val="22"/>
          <w:szCs w:val="22"/>
        </w:rPr>
        <w:t>Financially material investment considerations</w:t>
      </w:r>
    </w:p>
    <w:p w14:paraId="20CFAF38" w14:textId="77777777" w:rsidR="00855071" w:rsidRDefault="00855071" w:rsidP="00855071">
      <w:pPr>
        <w:rPr>
          <w:sz w:val="22"/>
          <w:szCs w:val="22"/>
        </w:rPr>
      </w:pPr>
    </w:p>
    <w:p w14:paraId="655C5021" w14:textId="2F0D8644" w:rsidR="00855071" w:rsidRPr="00943DA0" w:rsidRDefault="00855071" w:rsidP="00855071">
      <w:pPr>
        <w:rPr>
          <w:sz w:val="22"/>
          <w:szCs w:val="22"/>
        </w:rPr>
      </w:pPr>
      <w:r w:rsidRPr="00943DA0">
        <w:rPr>
          <w:sz w:val="22"/>
          <w:szCs w:val="22"/>
        </w:rPr>
        <w:t xml:space="preserve">These considerations which include the “Risks” set out in Section </w:t>
      </w:r>
      <w:r w:rsidR="007B6F21">
        <w:rPr>
          <w:sz w:val="22"/>
          <w:szCs w:val="22"/>
        </w:rPr>
        <w:t>4</w:t>
      </w:r>
      <w:r w:rsidRPr="00943DA0">
        <w:rPr>
          <w:sz w:val="22"/>
          <w:szCs w:val="22"/>
        </w:rPr>
        <w:t xml:space="preserve"> can affect the long-term financial performance of investments and can (but do not have to) include environmental, </w:t>
      </w:r>
      <w:r w:rsidRPr="00943DA0">
        <w:rPr>
          <w:sz w:val="22"/>
          <w:szCs w:val="22"/>
        </w:rPr>
        <w:lastRenderedPageBreak/>
        <w:t xml:space="preserve">social and governance factors (otherwise known as “ESG”) where relevant. The Trustees delegate the day to day consideration of financially material factors to the investment managers who consider these when constructing their portfolios. All references to ESG relate to financial factors only. All references to ESG also include climate change. </w:t>
      </w:r>
    </w:p>
    <w:p w14:paraId="1A6E1D87" w14:textId="77777777" w:rsidR="007B6F21" w:rsidRDefault="007B6F21" w:rsidP="00855071">
      <w:pPr>
        <w:rPr>
          <w:sz w:val="22"/>
          <w:szCs w:val="22"/>
        </w:rPr>
      </w:pPr>
    </w:p>
    <w:p w14:paraId="217AF1B5" w14:textId="4BF5493C" w:rsidR="00855071" w:rsidRPr="00943DA0" w:rsidRDefault="00855071" w:rsidP="00855071">
      <w:pPr>
        <w:rPr>
          <w:sz w:val="22"/>
          <w:szCs w:val="22"/>
        </w:rPr>
      </w:pPr>
      <w:r w:rsidRPr="00943DA0">
        <w:rPr>
          <w:sz w:val="22"/>
          <w:szCs w:val="22"/>
        </w:rPr>
        <w:t xml:space="preserve">ESG factors and stewardship are considered, in the context of long term performance, by </w:t>
      </w:r>
      <w:r w:rsidR="007B6F21" w:rsidRPr="007B6F21">
        <w:rPr>
          <w:sz w:val="22"/>
          <w:szCs w:val="22"/>
        </w:rPr>
        <w:t xml:space="preserve">St James’s Place Wealth Management </w:t>
      </w:r>
      <w:r w:rsidRPr="00943DA0">
        <w:rPr>
          <w:sz w:val="22"/>
          <w:szCs w:val="22"/>
        </w:rPr>
        <w:t xml:space="preserve">as part of the investment manager selection criteria. This review occurs before investment managers are approved for investment in the portfolio. </w:t>
      </w:r>
      <w:r w:rsidR="007B6F21">
        <w:rPr>
          <w:sz w:val="22"/>
          <w:szCs w:val="22"/>
        </w:rPr>
        <w:t>Changes to</w:t>
      </w:r>
      <w:r w:rsidRPr="00943DA0">
        <w:rPr>
          <w:sz w:val="22"/>
          <w:szCs w:val="22"/>
        </w:rPr>
        <w:t xml:space="preserve"> investment manager appoint</w:t>
      </w:r>
      <w:r w:rsidR="007B6F21">
        <w:rPr>
          <w:sz w:val="22"/>
          <w:szCs w:val="22"/>
        </w:rPr>
        <w:t>ments are notified to the Trustees by</w:t>
      </w:r>
      <w:r w:rsidRPr="00943DA0">
        <w:rPr>
          <w:sz w:val="22"/>
          <w:szCs w:val="22"/>
        </w:rPr>
        <w:t xml:space="preserve"> the Investment Advisor</w:t>
      </w:r>
      <w:r w:rsidR="00950E74">
        <w:rPr>
          <w:sz w:val="22"/>
          <w:szCs w:val="22"/>
        </w:rPr>
        <w:t xml:space="preserve"> as set out above</w:t>
      </w:r>
      <w:r w:rsidR="007B6F21">
        <w:rPr>
          <w:sz w:val="22"/>
          <w:szCs w:val="22"/>
        </w:rPr>
        <w:t>.</w:t>
      </w:r>
      <w:r w:rsidR="007B6F21" w:rsidRPr="007B6F21">
        <w:t xml:space="preserve"> </w:t>
      </w:r>
      <w:r w:rsidR="007B6F21" w:rsidRPr="007B6F21">
        <w:rPr>
          <w:sz w:val="22"/>
          <w:szCs w:val="22"/>
        </w:rPr>
        <w:t>St James’s Place Wealth Management</w:t>
      </w:r>
      <w:r w:rsidRPr="00943DA0">
        <w:rPr>
          <w:sz w:val="22"/>
          <w:szCs w:val="22"/>
        </w:rPr>
        <w:t xml:space="preserve"> monitor the investment manager for ongoing compliance with the expected standards at appointment and with other factors, such as stewardship, as a part of overall governance and engagement.</w:t>
      </w:r>
    </w:p>
    <w:p w14:paraId="7B90537E" w14:textId="77777777" w:rsidR="00855071" w:rsidRDefault="00855071" w:rsidP="00855071">
      <w:pPr>
        <w:rPr>
          <w:sz w:val="22"/>
          <w:szCs w:val="22"/>
        </w:rPr>
      </w:pPr>
    </w:p>
    <w:p w14:paraId="042CB1B4" w14:textId="77777777" w:rsidR="00B0197B" w:rsidRDefault="00B0197B" w:rsidP="00855071">
      <w:pPr>
        <w:rPr>
          <w:b/>
          <w:bCs/>
          <w:sz w:val="22"/>
          <w:szCs w:val="22"/>
        </w:rPr>
      </w:pPr>
    </w:p>
    <w:p w14:paraId="04977FEE" w14:textId="186F62C4" w:rsidR="00855071" w:rsidRPr="00943DA0" w:rsidRDefault="00855071" w:rsidP="00855071">
      <w:pPr>
        <w:rPr>
          <w:b/>
          <w:bCs/>
          <w:sz w:val="22"/>
          <w:szCs w:val="22"/>
        </w:rPr>
      </w:pPr>
      <w:r w:rsidRPr="00943DA0">
        <w:rPr>
          <w:b/>
          <w:bCs/>
          <w:sz w:val="22"/>
          <w:szCs w:val="22"/>
        </w:rPr>
        <w:t>Non-financially material investment considerations</w:t>
      </w:r>
    </w:p>
    <w:p w14:paraId="6229900C" w14:textId="77777777" w:rsidR="00855071" w:rsidRDefault="00855071" w:rsidP="00855071">
      <w:pPr>
        <w:rPr>
          <w:sz w:val="22"/>
          <w:szCs w:val="22"/>
        </w:rPr>
      </w:pPr>
    </w:p>
    <w:p w14:paraId="16D1707F" w14:textId="6CAF1D37" w:rsidR="00855071" w:rsidRPr="00943DA0" w:rsidRDefault="00855071" w:rsidP="00943DA0">
      <w:pPr>
        <w:rPr>
          <w:sz w:val="22"/>
          <w:szCs w:val="22"/>
        </w:rPr>
      </w:pPr>
      <w:r w:rsidRPr="00943DA0">
        <w:rPr>
          <w:sz w:val="22"/>
          <w:szCs w:val="22"/>
        </w:rPr>
        <w:t>The Trustees do not at present take into account non-financially material factors (such as members’ ethical considerations, social and environmental impact matters or future quality of life considerations for members and beneficiaries) when making investment decisions as there is no likely common view on any ethical matters which members are likely to hold.  At this time the Trustees have no plans to seek the views of the membership on ethical considerations</w:t>
      </w:r>
      <w:r w:rsidR="00CB6243">
        <w:rPr>
          <w:sz w:val="22"/>
          <w:szCs w:val="22"/>
        </w:rPr>
        <w:t xml:space="preserve"> but </w:t>
      </w:r>
      <w:r w:rsidR="00BF667E" w:rsidRPr="00BF667E">
        <w:rPr>
          <w:sz w:val="22"/>
          <w:szCs w:val="22"/>
        </w:rPr>
        <w:t>the Trustees make a copy of the Statement of Investment Principles available to members on request and publish a copy of the Statement on a publicly accessible website</w:t>
      </w:r>
      <w:r w:rsidRPr="00943DA0">
        <w:rPr>
          <w:sz w:val="22"/>
          <w:szCs w:val="22"/>
        </w:rPr>
        <w:t>.</w:t>
      </w:r>
    </w:p>
    <w:p w14:paraId="1D7A82F9" w14:textId="77777777" w:rsidR="0086392B" w:rsidRDefault="0036504A" w:rsidP="0086392B">
      <w:pPr>
        <w:pStyle w:val="Heading1"/>
        <w:spacing w:before="0" w:after="0" w:line="240" w:lineRule="auto"/>
        <w:rPr>
          <w:color w:val="auto"/>
        </w:rPr>
      </w:pPr>
      <w:r>
        <w:rPr>
          <w:b/>
          <w:sz w:val="22"/>
          <w:szCs w:val="22"/>
        </w:rPr>
        <w:br w:type="page"/>
      </w:r>
      <w:r w:rsidR="0086392B">
        <w:rPr>
          <w:color w:val="auto"/>
        </w:rPr>
        <w:lastRenderedPageBreak/>
        <w:t>4</w:t>
      </w:r>
      <w:r w:rsidR="0086392B" w:rsidRPr="003E06DD">
        <w:rPr>
          <w:color w:val="auto"/>
        </w:rPr>
        <w:t xml:space="preserve">. </w:t>
      </w:r>
      <w:r w:rsidR="0086392B">
        <w:rPr>
          <w:color w:val="auto"/>
        </w:rPr>
        <w:t>Risks</w:t>
      </w:r>
    </w:p>
    <w:p w14:paraId="7FFF3A55" w14:textId="77777777" w:rsidR="0086392B" w:rsidRPr="00CA2880" w:rsidRDefault="0086392B" w:rsidP="0086392B">
      <w:pPr>
        <w:rPr>
          <w:sz w:val="36"/>
        </w:rPr>
      </w:pPr>
    </w:p>
    <w:p w14:paraId="7D6DD1B3" w14:textId="0ED6D8D8" w:rsidR="003B10F3" w:rsidRDefault="00737CC8" w:rsidP="00CA2880">
      <w:pPr>
        <w:spacing w:line="240" w:lineRule="auto"/>
        <w:rPr>
          <w:rFonts w:cs="Arial"/>
          <w:sz w:val="22"/>
          <w:szCs w:val="22"/>
        </w:rPr>
      </w:pPr>
      <w:r>
        <w:rPr>
          <w:rFonts w:cs="Arial"/>
          <w:sz w:val="22"/>
          <w:szCs w:val="22"/>
        </w:rPr>
        <w:t>The T</w:t>
      </w:r>
      <w:r w:rsidR="003B10F3" w:rsidRPr="003B10F3">
        <w:rPr>
          <w:rFonts w:cs="Arial"/>
          <w:sz w:val="22"/>
          <w:szCs w:val="22"/>
        </w:rPr>
        <w:t>rustees appreciate that the most important aspect of the security of the members’ benefits is the continued support of the scheme sponsor.  Events that reduce the sponsor’s willing</w:t>
      </w:r>
      <w:r>
        <w:rPr>
          <w:rFonts w:cs="Arial"/>
          <w:sz w:val="22"/>
          <w:szCs w:val="22"/>
        </w:rPr>
        <w:t>ness or ability to support the S</w:t>
      </w:r>
      <w:r w:rsidR="003B10F3" w:rsidRPr="003B10F3">
        <w:rPr>
          <w:rFonts w:cs="Arial"/>
          <w:sz w:val="22"/>
          <w:szCs w:val="22"/>
        </w:rPr>
        <w:t>cheme are the biggest potential threats from the members’ perspective.</w:t>
      </w:r>
      <w:r w:rsidR="008D482D">
        <w:rPr>
          <w:rFonts w:cs="Arial"/>
          <w:sz w:val="22"/>
          <w:szCs w:val="22"/>
        </w:rPr>
        <w:t xml:space="preserve"> The Trustees will discuss developments in the sponsor’s business with the sponsor at least annuall</w:t>
      </w:r>
      <w:r w:rsidR="00E7499B">
        <w:rPr>
          <w:rFonts w:cs="Arial"/>
          <w:sz w:val="22"/>
          <w:szCs w:val="22"/>
        </w:rPr>
        <w:t>y and update thei</w:t>
      </w:r>
      <w:r w:rsidR="008D482D">
        <w:rPr>
          <w:rFonts w:cs="Arial"/>
          <w:sz w:val="22"/>
          <w:szCs w:val="22"/>
        </w:rPr>
        <w:t xml:space="preserve">r assessment of the strength of the employer covenant </w:t>
      </w:r>
      <w:r w:rsidR="00D5223C">
        <w:rPr>
          <w:rFonts w:cs="Arial"/>
          <w:sz w:val="22"/>
          <w:szCs w:val="22"/>
        </w:rPr>
        <w:t>accordingly</w:t>
      </w:r>
      <w:r w:rsidR="00684A9C">
        <w:rPr>
          <w:rFonts w:cs="Arial"/>
          <w:sz w:val="22"/>
          <w:szCs w:val="22"/>
        </w:rPr>
        <w:t>.</w:t>
      </w:r>
      <w:r w:rsidR="00D5223C">
        <w:rPr>
          <w:rFonts w:cs="Arial"/>
          <w:sz w:val="22"/>
          <w:szCs w:val="22"/>
        </w:rPr>
        <w:t xml:space="preserve"> Interim reviews will be undertaken at times of significant developments of the business.</w:t>
      </w:r>
    </w:p>
    <w:p w14:paraId="4D872D0D" w14:textId="77777777" w:rsidR="00FF0D03" w:rsidRDefault="00FF0D03" w:rsidP="00CA2880">
      <w:pPr>
        <w:spacing w:line="240" w:lineRule="auto"/>
        <w:rPr>
          <w:rFonts w:cs="Arial"/>
          <w:sz w:val="22"/>
          <w:szCs w:val="22"/>
        </w:rPr>
      </w:pPr>
    </w:p>
    <w:p w14:paraId="71439D46" w14:textId="2700C1B7" w:rsidR="00FF0D03" w:rsidRPr="003B10F3" w:rsidRDefault="00FF0D03" w:rsidP="00CA2880">
      <w:pPr>
        <w:spacing w:line="240" w:lineRule="auto"/>
        <w:rPr>
          <w:rFonts w:cs="Arial"/>
          <w:sz w:val="22"/>
          <w:szCs w:val="22"/>
        </w:rPr>
      </w:pPr>
      <w:r>
        <w:rPr>
          <w:rFonts w:cs="Arial"/>
          <w:sz w:val="22"/>
          <w:szCs w:val="22"/>
        </w:rPr>
        <w:t xml:space="preserve">The Trustees have commenced the elimination of the sponsor risk for the benefits of 17 of the 19 members through the buy-in with Just Retirement. This process will be completed through the issuance of policy documents by Just to individual members </w:t>
      </w:r>
      <w:r w:rsidR="005C5B28">
        <w:rPr>
          <w:rFonts w:cs="Arial"/>
          <w:sz w:val="22"/>
          <w:szCs w:val="22"/>
        </w:rPr>
        <w:t>as soon as is practical</w:t>
      </w:r>
      <w:r>
        <w:rPr>
          <w:rFonts w:cs="Arial"/>
          <w:sz w:val="22"/>
          <w:szCs w:val="22"/>
        </w:rPr>
        <w:t xml:space="preserve"> (</w:t>
      </w:r>
      <w:r w:rsidR="005C5B28">
        <w:rPr>
          <w:rFonts w:cs="Arial"/>
          <w:sz w:val="22"/>
          <w:szCs w:val="22"/>
        </w:rPr>
        <w:t xml:space="preserve">ie changing the buy-in to </w:t>
      </w:r>
      <w:r>
        <w:rPr>
          <w:rFonts w:cs="Arial"/>
          <w:sz w:val="22"/>
          <w:szCs w:val="22"/>
        </w:rPr>
        <w:t xml:space="preserve">a buy-out of </w:t>
      </w:r>
      <w:r w:rsidR="005C5B28">
        <w:rPr>
          <w:rFonts w:cs="Arial"/>
          <w:sz w:val="22"/>
          <w:szCs w:val="22"/>
        </w:rPr>
        <w:t xml:space="preserve">these </w:t>
      </w:r>
      <w:r>
        <w:rPr>
          <w:rFonts w:cs="Arial"/>
          <w:sz w:val="22"/>
          <w:szCs w:val="22"/>
        </w:rPr>
        <w:t>members’ benefits).</w:t>
      </w:r>
    </w:p>
    <w:p w14:paraId="7912C5EC" w14:textId="77777777" w:rsidR="003B10F3" w:rsidRPr="003B10F3" w:rsidRDefault="003B10F3" w:rsidP="00CA2880">
      <w:pPr>
        <w:spacing w:line="240" w:lineRule="auto"/>
        <w:rPr>
          <w:rFonts w:cs="Arial"/>
          <w:sz w:val="22"/>
          <w:szCs w:val="22"/>
        </w:rPr>
      </w:pPr>
    </w:p>
    <w:p w14:paraId="603FDF5A" w14:textId="77777777" w:rsidR="003B10F3" w:rsidRDefault="00737CC8" w:rsidP="00CA2880">
      <w:pPr>
        <w:spacing w:line="240" w:lineRule="auto"/>
        <w:rPr>
          <w:rFonts w:cs="Arial"/>
          <w:sz w:val="22"/>
          <w:szCs w:val="22"/>
        </w:rPr>
      </w:pPr>
      <w:r>
        <w:rPr>
          <w:rFonts w:cs="Arial"/>
          <w:sz w:val="22"/>
          <w:szCs w:val="22"/>
        </w:rPr>
        <w:t>The Trustees have adopted a balanced approach to investment risk</w:t>
      </w:r>
      <w:r w:rsidR="003B10F3" w:rsidRPr="003B10F3">
        <w:rPr>
          <w:rFonts w:cs="Arial"/>
          <w:sz w:val="22"/>
          <w:szCs w:val="22"/>
        </w:rPr>
        <w:t xml:space="preserve">.  Taking too little risk can be as damaging for a pension scheme as taking too much risk.  The reduction in long-term expected investment returns </w:t>
      </w:r>
      <w:r w:rsidR="00933638">
        <w:rPr>
          <w:rFonts w:cs="Arial"/>
          <w:sz w:val="22"/>
          <w:szCs w:val="22"/>
        </w:rPr>
        <w:t xml:space="preserve">resulting from an overly cautious approach to risk </w:t>
      </w:r>
      <w:r w:rsidR="003B10F3" w:rsidRPr="003B10F3">
        <w:rPr>
          <w:rFonts w:cs="Arial"/>
          <w:sz w:val="22"/>
          <w:szCs w:val="22"/>
        </w:rPr>
        <w:t xml:space="preserve">may push the costs of the </w:t>
      </w:r>
      <w:r w:rsidR="008D482D">
        <w:rPr>
          <w:rFonts w:cs="Arial"/>
          <w:sz w:val="22"/>
          <w:szCs w:val="22"/>
        </w:rPr>
        <w:t>S</w:t>
      </w:r>
      <w:r w:rsidR="003B10F3" w:rsidRPr="003B10F3">
        <w:rPr>
          <w:rFonts w:cs="Arial"/>
          <w:sz w:val="22"/>
          <w:szCs w:val="22"/>
        </w:rPr>
        <w:t>cheme to become unsustainably high.</w:t>
      </w:r>
    </w:p>
    <w:p w14:paraId="0D6859D6" w14:textId="77777777" w:rsidR="00933638" w:rsidRDefault="00933638" w:rsidP="00CA2880">
      <w:pPr>
        <w:spacing w:line="240" w:lineRule="auto"/>
        <w:rPr>
          <w:rFonts w:cs="Arial"/>
          <w:sz w:val="22"/>
          <w:szCs w:val="22"/>
        </w:rPr>
      </w:pPr>
    </w:p>
    <w:p w14:paraId="774B2DEC" w14:textId="77777777" w:rsidR="00933638" w:rsidRPr="003B10F3" w:rsidRDefault="00933638" w:rsidP="00CA2880">
      <w:pPr>
        <w:spacing w:line="240" w:lineRule="auto"/>
        <w:rPr>
          <w:rFonts w:cs="Arial"/>
          <w:sz w:val="22"/>
          <w:szCs w:val="22"/>
        </w:rPr>
      </w:pPr>
      <w:r>
        <w:rPr>
          <w:rFonts w:cs="Arial"/>
          <w:sz w:val="22"/>
          <w:szCs w:val="22"/>
        </w:rPr>
        <w:t xml:space="preserve">The Trustees have identified the following </w:t>
      </w:r>
      <w:r w:rsidR="004D3753">
        <w:rPr>
          <w:rFonts w:cs="Arial"/>
          <w:sz w:val="22"/>
          <w:szCs w:val="22"/>
        </w:rPr>
        <w:t xml:space="preserve">further </w:t>
      </w:r>
      <w:r>
        <w:rPr>
          <w:rFonts w:cs="Arial"/>
          <w:sz w:val="22"/>
          <w:szCs w:val="22"/>
        </w:rPr>
        <w:t>risks and set out below how they will manage them:</w:t>
      </w:r>
    </w:p>
    <w:p w14:paraId="1A2DA601" w14:textId="77777777" w:rsidR="003B10F3" w:rsidRPr="003B10F3" w:rsidRDefault="003B10F3" w:rsidP="00CA2880">
      <w:pPr>
        <w:spacing w:line="240" w:lineRule="auto"/>
        <w:rPr>
          <w:rFonts w:cs="Arial"/>
          <w:sz w:val="22"/>
          <w:szCs w:val="22"/>
        </w:rPr>
      </w:pPr>
    </w:p>
    <w:p w14:paraId="64464429" w14:textId="77777777" w:rsidR="003B10F3" w:rsidRPr="00933638" w:rsidRDefault="00933638" w:rsidP="00FF45A9">
      <w:pPr>
        <w:pStyle w:val="ListParagraph"/>
        <w:numPr>
          <w:ilvl w:val="0"/>
          <w:numId w:val="25"/>
        </w:numPr>
        <w:spacing w:after="0" w:line="240" w:lineRule="auto"/>
        <w:rPr>
          <w:rFonts w:ascii="Arial" w:hAnsi="Arial" w:cs="Arial"/>
          <w:b/>
        </w:rPr>
      </w:pPr>
      <w:r>
        <w:rPr>
          <w:rFonts w:ascii="Arial" w:hAnsi="Arial" w:cs="Arial"/>
          <w:b/>
        </w:rPr>
        <w:t>Funding and asset/liability mismatch risk</w:t>
      </w:r>
      <w:r>
        <w:rPr>
          <w:rFonts w:ascii="Arial" w:hAnsi="Arial" w:cs="Arial"/>
        </w:rPr>
        <w:t xml:space="preserve"> – the risk that the funding level is adversely affected due to a mismatch between the assets and liabilities. This risk is managed as follows:</w:t>
      </w:r>
    </w:p>
    <w:p w14:paraId="76B1C3E4" w14:textId="47D6DCED" w:rsidR="00933638" w:rsidRPr="00933638" w:rsidRDefault="00933638" w:rsidP="00FF45A9">
      <w:pPr>
        <w:pStyle w:val="ListParagraph"/>
        <w:numPr>
          <w:ilvl w:val="1"/>
          <w:numId w:val="25"/>
        </w:numPr>
        <w:spacing w:after="0" w:line="240" w:lineRule="auto"/>
        <w:rPr>
          <w:rFonts w:ascii="Arial" w:hAnsi="Arial" w:cs="Arial"/>
        </w:rPr>
      </w:pPr>
      <w:r w:rsidRPr="00933638">
        <w:rPr>
          <w:rFonts w:ascii="Arial" w:hAnsi="Arial" w:cs="Arial"/>
        </w:rPr>
        <w:t xml:space="preserve">The </w:t>
      </w:r>
      <w:r>
        <w:rPr>
          <w:rFonts w:ascii="Arial" w:hAnsi="Arial" w:cs="Arial"/>
        </w:rPr>
        <w:t xml:space="preserve">asset allocation and projected return is reviewed after each </w:t>
      </w:r>
      <w:r w:rsidR="007B6F21">
        <w:rPr>
          <w:rFonts w:ascii="Arial" w:hAnsi="Arial" w:cs="Arial"/>
        </w:rPr>
        <w:t xml:space="preserve">triennial </w:t>
      </w:r>
      <w:r>
        <w:rPr>
          <w:rFonts w:ascii="Arial" w:hAnsi="Arial" w:cs="Arial"/>
        </w:rPr>
        <w:t>Actuarial Valuation</w:t>
      </w:r>
    </w:p>
    <w:p w14:paraId="638F6785" w14:textId="1147452D" w:rsidR="00933638" w:rsidRPr="003B10F3" w:rsidRDefault="00D927D0" w:rsidP="00FF45A9">
      <w:pPr>
        <w:pStyle w:val="ListParagraph"/>
        <w:numPr>
          <w:ilvl w:val="1"/>
          <w:numId w:val="25"/>
        </w:numPr>
        <w:spacing w:after="0" w:line="240" w:lineRule="auto"/>
        <w:rPr>
          <w:rFonts w:ascii="Arial" w:hAnsi="Arial" w:cs="Arial"/>
          <w:b/>
        </w:rPr>
      </w:pPr>
      <w:r>
        <w:rPr>
          <w:rFonts w:ascii="Arial" w:hAnsi="Arial" w:cs="Arial"/>
        </w:rPr>
        <w:t>Informal a</w:t>
      </w:r>
      <w:r w:rsidR="00933638">
        <w:rPr>
          <w:rFonts w:ascii="Arial" w:hAnsi="Arial" w:cs="Arial"/>
        </w:rPr>
        <w:t>nnual reviews of the estimated funding level are undertaken between Actuarial Valuations</w:t>
      </w:r>
    </w:p>
    <w:p w14:paraId="0F833794" w14:textId="77777777" w:rsidR="003B10F3" w:rsidRPr="003B10F3" w:rsidRDefault="003B10F3" w:rsidP="00CA2880">
      <w:pPr>
        <w:spacing w:line="240" w:lineRule="auto"/>
        <w:rPr>
          <w:rFonts w:cs="Arial"/>
          <w:b/>
          <w:sz w:val="22"/>
          <w:szCs w:val="22"/>
        </w:rPr>
      </w:pPr>
    </w:p>
    <w:p w14:paraId="37F7EF93" w14:textId="77777777" w:rsidR="003B10F3" w:rsidRPr="001D2ACF" w:rsidRDefault="00933638" w:rsidP="00FF45A9">
      <w:pPr>
        <w:pStyle w:val="ListParagraph"/>
        <w:numPr>
          <w:ilvl w:val="0"/>
          <w:numId w:val="25"/>
        </w:numPr>
        <w:spacing w:after="0" w:line="240" w:lineRule="auto"/>
        <w:rPr>
          <w:rFonts w:ascii="Arial" w:hAnsi="Arial" w:cs="Arial"/>
          <w:b/>
        </w:rPr>
      </w:pPr>
      <w:r>
        <w:rPr>
          <w:rFonts w:ascii="Arial" w:hAnsi="Arial" w:cs="Arial"/>
          <w:b/>
        </w:rPr>
        <w:t>Underperformance risk</w:t>
      </w:r>
      <w:r>
        <w:rPr>
          <w:rFonts w:ascii="Arial" w:hAnsi="Arial" w:cs="Arial"/>
        </w:rPr>
        <w:t xml:space="preserve"> – the risk of underperforming the benchmarks and objectives set by the Trustees</w:t>
      </w:r>
      <w:r w:rsidR="001D2ACF">
        <w:rPr>
          <w:rFonts w:ascii="Arial" w:hAnsi="Arial" w:cs="Arial"/>
        </w:rPr>
        <w:t>. This risk is minimised by:</w:t>
      </w:r>
    </w:p>
    <w:p w14:paraId="3DAEA6D4" w14:textId="77777777" w:rsidR="001D2ACF" w:rsidRPr="001D2ACF" w:rsidRDefault="001D2ACF" w:rsidP="00FF45A9">
      <w:pPr>
        <w:pStyle w:val="ListParagraph"/>
        <w:numPr>
          <w:ilvl w:val="1"/>
          <w:numId w:val="25"/>
        </w:numPr>
        <w:spacing w:after="0" w:line="240" w:lineRule="auto"/>
        <w:rPr>
          <w:rFonts w:ascii="Arial" w:hAnsi="Arial" w:cs="Arial"/>
          <w:b/>
        </w:rPr>
      </w:pPr>
      <w:r>
        <w:rPr>
          <w:rFonts w:ascii="Arial" w:hAnsi="Arial" w:cs="Arial"/>
        </w:rPr>
        <w:t xml:space="preserve">Appropriate diversification across asset classes and </w:t>
      </w:r>
      <w:r w:rsidR="00E7499B">
        <w:rPr>
          <w:rFonts w:ascii="Arial" w:hAnsi="Arial" w:cs="Arial"/>
        </w:rPr>
        <w:t>i</w:t>
      </w:r>
      <w:r>
        <w:rPr>
          <w:rFonts w:ascii="Arial" w:hAnsi="Arial" w:cs="Arial"/>
        </w:rPr>
        <w:t xml:space="preserve">nvestment </w:t>
      </w:r>
      <w:r w:rsidR="00E7499B">
        <w:rPr>
          <w:rFonts w:ascii="Arial" w:hAnsi="Arial" w:cs="Arial"/>
        </w:rPr>
        <w:t>m</w:t>
      </w:r>
      <w:r>
        <w:rPr>
          <w:rFonts w:ascii="Arial" w:hAnsi="Arial" w:cs="Arial"/>
        </w:rPr>
        <w:t>anagers</w:t>
      </w:r>
    </w:p>
    <w:p w14:paraId="7042F758" w14:textId="77777777" w:rsidR="001D2ACF" w:rsidRPr="003B10F3" w:rsidRDefault="00E7499B" w:rsidP="00FF45A9">
      <w:pPr>
        <w:pStyle w:val="ListParagraph"/>
        <w:numPr>
          <w:ilvl w:val="1"/>
          <w:numId w:val="25"/>
        </w:numPr>
        <w:spacing w:after="0" w:line="240" w:lineRule="auto"/>
        <w:rPr>
          <w:rFonts w:ascii="Arial" w:hAnsi="Arial" w:cs="Arial"/>
          <w:b/>
        </w:rPr>
      </w:pPr>
      <w:r>
        <w:rPr>
          <w:rFonts w:ascii="Arial" w:hAnsi="Arial" w:cs="Arial"/>
        </w:rPr>
        <w:t>Regular monitoring of i</w:t>
      </w:r>
      <w:r w:rsidR="001D2ACF">
        <w:rPr>
          <w:rFonts w:ascii="Arial" w:hAnsi="Arial" w:cs="Arial"/>
        </w:rPr>
        <w:t xml:space="preserve">nvestment </w:t>
      </w:r>
      <w:r>
        <w:rPr>
          <w:rFonts w:ascii="Arial" w:hAnsi="Arial" w:cs="Arial"/>
        </w:rPr>
        <w:t>m</w:t>
      </w:r>
      <w:r w:rsidR="001D2ACF">
        <w:rPr>
          <w:rFonts w:ascii="Arial" w:hAnsi="Arial" w:cs="Arial"/>
        </w:rPr>
        <w:t>anagers’ performance by the Trustees</w:t>
      </w:r>
      <w:r w:rsidR="008D482D">
        <w:rPr>
          <w:rFonts w:ascii="Arial" w:hAnsi="Arial" w:cs="Arial"/>
        </w:rPr>
        <w:t>’</w:t>
      </w:r>
      <w:r w:rsidR="001D2ACF">
        <w:rPr>
          <w:rFonts w:ascii="Arial" w:hAnsi="Arial" w:cs="Arial"/>
        </w:rPr>
        <w:t xml:space="preserve"> Investment Advisers</w:t>
      </w:r>
    </w:p>
    <w:p w14:paraId="5417CD20" w14:textId="77777777" w:rsidR="003B10F3" w:rsidRPr="003B10F3" w:rsidRDefault="003B10F3" w:rsidP="00CA2880">
      <w:pPr>
        <w:spacing w:line="240" w:lineRule="auto"/>
        <w:rPr>
          <w:rFonts w:cs="Arial"/>
          <w:b/>
          <w:sz w:val="22"/>
          <w:szCs w:val="22"/>
        </w:rPr>
      </w:pPr>
    </w:p>
    <w:p w14:paraId="30251CAB" w14:textId="7913B4E4" w:rsidR="00A90860" w:rsidRPr="00A90860" w:rsidRDefault="00A90860" w:rsidP="00FF45A9">
      <w:pPr>
        <w:pStyle w:val="ListParagraph"/>
        <w:numPr>
          <w:ilvl w:val="0"/>
          <w:numId w:val="25"/>
        </w:numPr>
        <w:spacing w:after="0" w:line="240" w:lineRule="auto"/>
        <w:rPr>
          <w:rFonts w:ascii="Arial" w:hAnsi="Arial" w:cs="Arial"/>
          <w:b/>
        </w:rPr>
      </w:pPr>
      <w:r>
        <w:rPr>
          <w:rFonts w:ascii="Arial" w:hAnsi="Arial" w:cs="Arial"/>
          <w:b/>
        </w:rPr>
        <w:t>Other Investment Manager risks</w:t>
      </w:r>
      <w:r>
        <w:rPr>
          <w:rFonts w:ascii="Arial" w:hAnsi="Arial" w:cs="Arial"/>
        </w:rPr>
        <w:t xml:space="preserve"> – these risks include the risk of unsuitable investment activity</w:t>
      </w:r>
      <w:r w:rsidR="00D5223C">
        <w:rPr>
          <w:rFonts w:ascii="Arial" w:hAnsi="Arial" w:cs="Arial"/>
        </w:rPr>
        <w:t xml:space="preserve"> including ESG factors</w:t>
      </w:r>
      <w:r>
        <w:rPr>
          <w:rFonts w:ascii="Arial" w:hAnsi="Arial" w:cs="Arial"/>
        </w:rPr>
        <w:t>, the risk of income from assets not being paid when promised, counterparty risks (for example to the extent that managers have hedged out foreign exchange risks in their portfolios) and the risk of inadequate internal processes at managers, including ensuring secure custody arrangements. The Trustees have delegated the management of these risks to St James’s Place Wealth Management.</w:t>
      </w:r>
    </w:p>
    <w:p w14:paraId="1AC99002" w14:textId="77777777" w:rsidR="00A90860" w:rsidRDefault="00A90860" w:rsidP="00A90860">
      <w:pPr>
        <w:pStyle w:val="ListParagraph"/>
        <w:spacing w:after="0" w:line="240" w:lineRule="auto"/>
        <w:rPr>
          <w:rFonts w:ascii="Arial" w:hAnsi="Arial" w:cs="Arial"/>
          <w:b/>
        </w:rPr>
      </w:pPr>
      <w:r>
        <w:rPr>
          <w:rFonts w:ascii="Arial" w:hAnsi="Arial" w:cs="Arial"/>
        </w:rPr>
        <w:t xml:space="preserve"> </w:t>
      </w:r>
    </w:p>
    <w:p w14:paraId="41A665EF" w14:textId="77777777" w:rsidR="003B10F3" w:rsidRPr="001D2ACF" w:rsidRDefault="001D2ACF" w:rsidP="00FF45A9">
      <w:pPr>
        <w:pStyle w:val="ListParagraph"/>
        <w:numPr>
          <w:ilvl w:val="0"/>
          <w:numId w:val="25"/>
        </w:numPr>
        <w:spacing w:after="0" w:line="240" w:lineRule="auto"/>
        <w:rPr>
          <w:rFonts w:ascii="Arial" w:hAnsi="Arial" w:cs="Arial"/>
          <w:b/>
        </w:rPr>
      </w:pPr>
      <w:r>
        <w:rPr>
          <w:rFonts w:ascii="Arial" w:hAnsi="Arial" w:cs="Arial"/>
          <w:b/>
        </w:rPr>
        <w:t xml:space="preserve">Country risk </w:t>
      </w:r>
      <w:r>
        <w:rPr>
          <w:rFonts w:ascii="Arial" w:hAnsi="Arial" w:cs="Arial"/>
        </w:rPr>
        <w:t>– the risk of an adverse influence on investment values from political intervention is reduced by diversification of the assets across many countries.</w:t>
      </w:r>
    </w:p>
    <w:p w14:paraId="27A1470F" w14:textId="77777777" w:rsidR="001D2ACF" w:rsidRDefault="001D2ACF" w:rsidP="001D2ACF">
      <w:pPr>
        <w:pStyle w:val="ListParagraph"/>
        <w:spacing w:after="0" w:line="240" w:lineRule="auto"/>
        <w:rPr>
          <w:rFonts w:ascii="Arial" w:hAnsi="Arial" w:cs="Arial"/>
          <w:b/>
        </w:rPr>
      </w:pPr>
    </w:p>
    <w:p w14:paraId="712FDDFE" w14:textId="77777777" w:rsidR="001D2ACF" w:rsidRPr="00A90860" w:rsidRDefault="001D2ACF" w:rsidP="00FF45A9">
      <w:pPr>
        <w:pStyle w:val="ListParagraph"/>
        <w:numPr>
          <w:ilvl w:val="0"/>
          <w:numId w:val="25"/>
        </w:numPr>
        <w:spacing w:after="0" w:line="240" w:lineRule="auto"/>
        <w:rPr>
          <w:rFonts w:ascii="Arial" w:hAnsi="Arial" w:cs="Arial"/>
          <w:b/>
        </w:rPr>
      </w:pPr>
      <w:r>
        <w:rPr>
          <w:rFonts w:ascii="Arial" w:hAnsi="Arial" w:cs="Arial"/>
          <w:b/>
        </w:rPr>
        <w:t xml:space="preserve">Concentration risk </w:t>
      </w:r>
      <w:r>
        <w:rPr>
          <w:rFonts w:ascii="Arial" w:hAnsi="Arial" w:cs="Arial"/>
        </w:rPr>
        <w:t>– the risk of an adverse influence on investment values from the concentration of holdings is reduced by the diversification of the assets.</w:t>
      </w:r>
    </w:p>
    <w:p w14:paraId="5464476B" w14:textId="77777777" w:rsidR="00A90860" w:rsidRPr="001D2ACF" w:rsidRDefault="00A90860" w:rsidP="00A90860">
      <w:pPr>
        <w:pStyle w:val="ListParagraph"/>
        <w:spacing w:after="0" w:line="240" w:lineRule="auto"/>
        <w:ind w:left="0"/>
        <w:rPr>
          <w:rFonts w:ascii="Arial" w:hAnsi="Arial" w:cs="Arial"/>
          <w:b/>
        </w:rPr>
      </w:pPr>
    </w:p>
    <w:p w14:paraId="58F5AD91" w14:textId="77777777" w:rsidR="00D5223C" w:rsidRPr="00943DA0" w:rsidRDefault="00A90860" w:rsidP="00FF45A9">
      <w:pPr>
        <w:pStyle w:val="ListParagraph"/>
        <w:numPr>
          <w:ilvl w:val="0"/>
          <w:numId w:val="25"/>
        </w:numPr>
        <w:spacing w:after="0" w:line="240" w:lineRule="auto"/>
        <w:rPr>
          <w:rFonts w:ascii="Arial" w:hAnsi="Arial" w:cs="Arial"/>
          <w:b/>
        </w:rPr>
      </w:pPr>
      <w:r>
        <w:rPr>
          <w:rFonts w:ascii="Arial" w:hAnsi="Arial" w:cs="Arial"/>
          <w:b/>
        </w:rPr>
        <w:t xml:space="preserve">Cash flow risk </w:t>
      </w:r>
      <w:r>
        <w:rPr>
          <w:rFonts w:ascii="Arial" w:hAnsi="Arial" w:cs="Arial"/>
        </w:rPr>
        <w:t xml:space="preserve">– addressed by the Trustees </w:t>
      </w:r>
      <w:r w:rsidR="004D3753">
        <w:rPr>
          <w:rFonts w:ascii="Arial" w:hAnsi="Arial" w:cs="Arial"/>
        </w:rPr>
        <w:t xml:space="preserve">regularly </w:t>
      </w:r>
      <w:r>
        <w:rPr>
          <w:rFonts w:ascii="Arial" w:hAnsi="Arial" w:cs="Arial"/>
        </w:rPr>
        <w:t>m</w:t>
      </w:r>
      <w:r w:rsidR="004D3753">
        <w:rPr>
          <w:rFonts w:ascii="Arial" w:hAnsi="Arial" w:cs="Arial"/>
        </w:rPr>
        <w:t>onitoring the cash flow requirem</w:t>
      </w:r>
      <w:r>
        <w:rPr>
          <w:rFonts w:ascii="Arial" w:hAnsi="Arial" w:cs="Arial"/>
        </w:rPr>
        <w:t>ents of the Scheme</w:t>
      </w:r>
      <w:r w:rsidR="004D3753">
        <w:rPr>
          <w:rFonts w:ascii="Arial" w:hAnsi="Arial" w:cs="Arial"/>
        </w:rPr>
        <w:t xml:space="preserve"> to control the timing of any disinvestment of assets.</w:t>
      </w:r>
    </w:p>
    <w:p w14:paraId="52205595" w14:textId="77777777" w:rsidR="00D5223C" w:rsidRPr="00943DA0" w:rsidRDefault="00D5223C" w:rsidP="00943DA0">
      <w:pPr>
        <w:pStyle w:val="ListParagraph"/>
        <w:rPr>
          <w:rFonts w:cs="Arial"/>
          <w:b/>
        </w:rPr>
      </w:pPr>
    </w:p>
    <w:p w14:paraId="026FEFC2" w14:textId="635ED4CA" w:rsidR="003B10F3" w:rsidRPr="003B10F3" w:rsidRDefault="00D5223C" w:rsidP="000026ED">
      <w:pPr>
        <w:pStyle w:val="ListParagraph"/>
        <w:spacing w:after="0" w:line="240" w:lineRule="auto"/>
        <w:rPr>
          <w:rFonts w:cs="Arial"/>
        </w:rPr>
      </w:pPr>
      <w:r w:rsidRPr="00943DA0">
        <w:rPr>
          <w:rFonts w:ascii="Arial" w:hAnsi="Arial" w:cs="Arial"/>
          <w:bCs/>
        </w:rPr>
        <w:t xml:space="preserve">The Trustees keep these risks and how they are measured and managed under regular review through the maintenance of a risk register, which is reviewed </w:t>
      </w:r>
      <w:r>
        <w:rPr>
          <w:rFonts w:ascii="Arial" w:hAnsi="Arial" w:cs="Arial"/>
          <w:bCs/>
        </w:rPr>
        <w:t>annually</w:t>
      </w:r>
      <w:r w:rsidRPr="00943DA0">
        <w:rPr>
          <w:rFonts w:ascii="Arial" w:hAnsi="Arial" w:cs="Arial"/>
          <w:bCs/>
        </w:rPr>
        <w:t>.</w:t>
      </w:r>
    </w:p>
    <w:p w14:paraId="1B4D9DE6" w14:textId="77777777" w:rsidR="009C14E4" w:rsidRDefault="007E23E9" w:rsidP="00CA2880">
      <w:pPr>
        <w:pStyle w:val="Heading1"/>
        <w:spacing w:before="0" w:after="0" w:line="240" w:lineRule="auto"/>
        <w:rPr>
          <w:color w:val="auto"/>
        </w:rPr>
      </w:pPr>
      <w:bookmarkStart w:id="3" w:name="_Toc192580101"/>
      <w:r>
        <w:rPr>
          <w:color w:val="auto"/>
          <w:sz w:val="22"/>
          <w:szCs w:val="22"/>
        </w:rPr>
        <w:br w:type="page"/>
      </w:r>
      <w:r w:rsidR="004D3753">
        <w:rPr>
          <w:color w:val="auto"/>
        </w:rPr>
        <w:lastRenderedPageBreak/>
        <w:t>5</w:t>
      </w:r>
      <w:r w:rsidR="009C14E4" w:rsidRPr="007777DD">
        <w:rPr>
          <w:color w:val="auto"/>
        </w:rPr>
        <w:t>. Myners Investment Principles</w:t>
      </w:r>
      <w:bookmarkEnd w:id="3"/>
    </w:p>
    <w:p w14:paraId="0BAF51C8" w14:textId="77777777" w:rsidR="00366CB8" w:rsidRPr="00CA2880" w:rsidRDefault="00366CB8" w:rsidP="00CA2880">
      <w:pPr>
        <w:spacing w:line="240" w:lineRule="auto"/>
        <w:rPr>
          <w:sz w:val="36"/>
        </w:rPr>
      </w:pPr>
    </w:p>
    <w:p w14:paraId="5FE12C3D" w14:textId="77777777" w:rsidR="009C14E4" w:rsidRPr="00366CB8" w:rsidRDefault="009C14E4" w:rsidP="007E23E9">
      <w:pPr>
        <w:pStyle w:val="BodyText"/>
        <w:spacing w:after="0" w:line="240" w:lineRule="auto"/>
        <w:rPr>
          <w:rFonts w:cs="Arial"/>
          <w:sz w:val="22"/>
          <w:szCs w:val="22"/>
        </w:rPr>
      </w:pPr>
      <w:r w:rsidRPr="00366CB8">
        <w:rPr>
          <w:sz w:val="22"/>
          <w:szCs w:val="22"/>
        </w:rPr>
        <w:t>The Trustees recognise the relevance to pension schemes of the Myners</w:t>
      </w:r>
      <w:r w:rsidR="00C45D38" w:rsidRPr="00366CB8">
        <w:rPr>
          <w:sz w:val="22"/>
          <w:szCs w:val="22"/>
        </w:rPr>
        <w:t>’</w:t>
      </w:r>
      <w:r w:rsidRPr="00366CB8">
        <w:rPr>
          <w:sz w:val="22"/>
          <w:szCs w:val="22"/>
        </w:rPr>
        <w:t xml:space="preserve"> </w:t>
      </w:r>
      <w:r w:rsidR="00C45D38" w:rsidRPr="00366CB8">
        <w:rPr>
          <w:sz w:val="22"/>
          <w:szCs w:val="22"/>
          <w:lang w:eastAsia="en-US"/>
        </w:rPr>
        <w:t>I</w:t>
      </w:r>
      <w:r w:rsidRPr="00366CB8">
        <w:rPr>
          <w:sz w:val="22"/>
          <w:szCs w:val="22"/>
          <w:lang w:eastAsia="en-US"/>
        </w:rPr>
        <w:t xml:space="preserve">nvestment </w:t>
      </w:r>
      <w:r w:rsidR="00C45D38" w:rsidRPr="00366CB8">
        <w:rPr>
          <w:sz w:val="22"/>
          <w:szCs w:val="22"/>
          <w:lang w:eastAsia="en-US"/>
        </w:rPr>
        <w:t>P</w:t>
      </w:r>
      <w:r w:rsidRPr="00366CB8">
        <w:rPr>
          <w:sz w:val="22"/>
          <w:szCs w:val="22"/>
          <w:lang w:eastAsia="en-US"/>
        </w:rPr>
        <w:t>rinciples that were published b</w:t>
      </w:r>
      <w:r w:rsidR="00456FC4" w:rsidRPr="00366CB8">
        <w:rPr>
          <w:sz w:val="22"/>
          <w:szCs w:val="22"/>
          <w:lang w:eastAsia="en-US"/>
        </w:rPr>
        <w:t>y the Government in October 2001, and updated in March 2008</w:t>
      </w:r>
      <w:r w:rsidRPr="00366CB8">
        <w:rPr>
          <w:sz w:val="22"/>
          <w:szCs w:val="22"/>
          <w:lang w:eastAsia="en-US"/>
        </w:rPr>
        <w:t xml:space="preserve">. </w:t>
      </w:r>
      <w:r w:rsidR="00456FC4" w:rsidRPr="00366CB8">
        <w:rPr>
          <w:sz w:val="22"/>
          <w:szCs w:val="22"/>
          <w:lang w:eastAsia="en-US"/>
        </w:rPr>
        <w:t xml:space="preserve"> </w:t>
      </w:r>
      <w:r w:rsidRPr="00366CB8">
        <w:rPr>
          <w:rFonts w:cs="Arial"/>
          <w:sz w:val="22"/>
          <w:szCs w:val="22"/>
        </w:rPr>
        <w:t xml:space="preserve">The Scheme’s adherence to (or otherwise) the Myners’ </w:t>
      </w:r>
      <w:r w:rsidR="00C45D38" w:rsidRPr="00366CB8">
        <w:rPr>
          <w:rFonts w:cs="Arial"/>
          <w:sz w:val="22"/>
          <w:szCs w:val="22"/>
        </w:rPr>
        <w:t xml:space="preserve">Investment </w:t>
      </w:r>
      <w:r w:rsidRPr="00366CB8">
        <w:rPr>
          <w:rFonts w:cs="Arial"/>
          <w:sz w:val="22"/>
          <w:szCs w:val="22"/>
        </w:rPr>
        <w:t>Principles is set out below.</w:t>
      </w:r>
    </w:p>
    <w:p w14:paraId="5C6AFE0B" w14:textId="77777777" w:rsidR="00456FC4" w:rsidRPr="00366CB8" w:rsidRDefault="00456FC4" w:rsidP="00CA2880">
      <w:pPr>
        <w:pStyle w:val="BodyText"/>
        <w:spacing w:after="0" w:line="240" w:lineRule="auto"/>
        <w:rPr>
          <w:rFonts w:cs="Arial"/>
          <w:sz w:val="22"/>
          <w:szCs w:val="22"/>
        </w:rPr>
      </w:pPr>
    </w:p>
    <w:p w14:paraId="0FA0DCB1" w14:textId="77777777" w:rsidR="00456FC4" w:rsidRPr="00366CB8" w:rsidRDefault="00456FC4" w:rsidP="00CA2880">
      <w:pPr>
        <w:spacing w:line="240" w:lineRule="auto"/>
        <w:rPr>
          <w:rFonts w:cs="Arial"/>
          <w:b/>
          <w:bCs/>
          <w:sz w:val="22"/>
          <w:szCs w:val="22"/>
        </w:rPr>
      </w:pPr>
      <w:r w:rsidRPr="00366CB8">
        <w:rPr>
          <w:rFonts w:cs="Arial"/>
          <w:b/>
          <w:bCs/>
          <w:sz w:val="22"/>
          <w:szCs w:val="22"/>
        </w:rPr>
        <w:t xml:space="preserve">Principle 1: Effective Decision-Making </w:t>
      </w:r>
    </w:p>
    <w:p w14:paraId="293F2CF9" w14:textId="77777777" w:rsidR="00456FC4" w:rsidRPr="00366CB8" w:rsidRDefault="00456FC4" w:rsidP="00CA2880">
      <w:pPr>
        <w:spacing w:line="240" w:lineRule="auto"/>
        <w:rPr>
          <w:rFonts w:cs="Arial"/>
          <w:color w:val="800000"/>
          <w:sz w:val="22"/>
          <w:szCs w:val="22"/>
        </w:rPr>
      </w:pPr>
    </w:p>
    <w:p w14:paraId="77AD088C" w14:textId="77777777" w:rsidR="00456FC4" w:rsidRPr="00366CB8" w:rsidRDefault="00456FC4" w:rsidP="00CA2880">
      <w:pPr>
        <w:spacing w:line="240" w:lineRule="auto"/>
        <w:rPr>
          <w:rFonts w:cs="Arial"/>
          <w:i/>
          <w:color w:val="000000"/>
          <w:sz w:val="22"/>
          <w:szCs w:val="22"/>
        </w:rPr>
      </w:pPr>
      <w:r w:rsidRPr="00366CB8">
        <w:rPr>
          <w:rFonts w:cs="Arial"/>
          <w:i/>
          <w:color w:val="000000"/>
          <w:sz w:val="22"/>
          <w:szCs w:val="22"/>
        </w:rPr>
        <w:t>“Trustees should ensure that decisions are taken by persons or organi</w:t>
      </w:r>
      <w:r w:rsidR="00194D0D" w:rsidRPr="00366CB8">
        <w:rPr>
          <w:rFonts w:cs="Arial"/>
          <w:i/>
          <w:color w:val="000000"/>
          <w:sz w:val="22"/>
          <w:szCs w:val="22"/>
        </w:rPr>
        <w:t>s</w:t>
      </w:r>
      <w:r w:rsidRPr="00366CB8">
        <w:rPr>
          <w:rFonts w:cs="Arial"/>
          <w:i/>
          <w:color w:val="000000"/>
          <w:sz w:val="22"/>
          <w:szCs w:val="22"/>
        </w:rPr>
        <w:t>ations with the skills, knowledge, advice and resources necessary to take them effectively and monitor their implementation.</w:t>
      </w:r>
    </w:p>
    <w:p w14:paraId="442DD6A0" w14:textId="77777777" w:rsidR="00456FC4" w:rsidRPr="00366CB8" w:rsidRDefault="00456FC4" w:rsidP="00CA2880">
      <w:pPr>
        <w:spacing w:line="240" w:lineRule="auto"/>
        <w:rPr>
          <w:rFonts w:cs="Arial"/>
          <w:i/>
          <w:color w:val="000000"/>
          <w:sz w:val="22"/>
          <w:szCs w:val="22"/>
        </w:rPr>
      </w:pPr>
    </w:p>
    <w:p w14:paraId="2D8F8407" w14:textId="77777777" w:rsidR="00456FC4" w:rsidRPr="00366CB8" w:rsidRDefault="00456FC4" w:rsidP="00CA2880">
      <w:pPr>
        <w:spacing w:line="240" w:lineRule="auto"/>
        <w:rPr>
          <w:rFonts w:cs="Arial"/>
          <w:i/>
          <w:color w:val="000000"/>
          <w:sz w:val="22"/>
          <w:szCs w:val="22"/>
        </w:rPr>
      </w:pPr>
      <w:r w:rsidRPr="00366CB8">
        <w:rPr>
          <w:rFonts w:cs="Arial"/>
          <w:i/>
          <w:color w:val="000000"/>
          <w:sz w:val="22"/>
          <w:szCs w:val="22"/>
        </w:rPr>
        <w:t>Trustees should have sufficient expertise to be able to evaluate and challenge the advice they receive, and manage conflicts of interest.”</w:t>
      </w:r>
    </w:p>
    <w:p w14:paraId="75C8DA74" w14:textId="77777777" w:rsidR="00456FC4" w:rsidRPr="00366CB8" w:rsidRDefault="00456FC4" w:rsidP="00CA2880">
      <w:pPr>
        <w:spacing w:line="240" w:lineRule="auto"/>
        <w:rPr>
          <w:rFonts w:cs="Arial"/>
          <w:color w:val="000000"/>
          <w:sz w:val="22"/>
          <w:szCs w:val="22"/>
        </w:rPr>
      </w:pPr>
    </w:p>
    <w:p w14:paraId="35719325" w14:textId="77777777" w:rsidR="009C14E4" w:rsidRPr="00366CB8" w:rsidRDefault="009C14E4" w:rsidP="00FF45A9">
      <w:pPr>
        <w:pStyle w:val="BodyText"/>
        <w:numPr>
          <w:ilvl w:val="0"/>
          <w:numId w:val="20"/>
        </w:numPr>
        <w:spacing w:after="0" w:line="240" w:lineRule="auto"/>
        <w:rPr>
          <w:sz w:val="22"/>
          <w:szCs w:val="22"/>
        </w:rPr>
      </w:pPr>
      <w:r w:rsidRPr="00366CB8">
        <w:rPr>
          <w:sz w:val="22"/>
          <w:szCs w:val="22"/>
        </w:rPr>
        <w:t xml:space="preserve">The Trustees make </w:t>
      </w:r>
      <w:r w:rsidR="00E6149E" w:rsidRPr="00366CB8">
        <w:rPr>
          <w:sz w:val="22"/>
          <w:szCs w:val="22"/>
        </w:rPr>
        <w:t xml:space="preserve">investment </w:t>
      </w:r>
      <w:r w:rsidRPr="00366CB8">
        <w:rPr>
          <w:sz w:val="22"/>
          <w:szCs w:val="22"/>
        </w:rPr>
        <w:t xml:space="preserve">decisions by consulting with professionals that they feel are best equipped to give that advice. Long-term strategic investment decisions are made in consultation with the Scheme’s </w:t>
      </w:r>
      <w:r w:rsidR="00E7499B">
        <w:rPr>
          <w:sz w:val="22"/>
          <w:szCs w:val="22"/>
        </w:rPr>
        <w:t>I</w:t>
      </w:r>
      <w:r w:rsidRPr="00366CB8">
        <w:rPr>
          <w:sz w:val="22"/>
          <w:szCs w:val="22"/>
        </w:rPr>
        <w:t xml:space="preserve">nvestment </w:t>
      </w:r>
      <w:r w:rsidR="00E7499B">
        <w:rPr>
          <w:sz w:val="22"/>
          <w:szCs w:val="22"/>
        </w:rPr>
        <w:t>A</w:t>
      </w:r>
      <w:r w:rsidR="004D3753">
        <w:rPr>
          <w:sz w:val="22"/>
          <w:szCs w:val="22"/>
        </w:rPr>
        <w:t>dviser</w:t>
      </w:r>
      <w:r w:rsidRPr="00366CB8">
        <w:rPr>
          <w:sz w:val="22"/>
          <w:szCs w:val="22"/>
        </w:rPr>
        <w:t xml:space="preserve">, whereas tactical decisions </w:t>
      </w:r>
      <w:r w:rsidR="00F01521" w:rsidRPr="00366CB8">
        <w:rPr>
          <w:sz w:val="22"/>
          <w:szCs w:val="22"/>
        </w:rPr>
        <w:t xml:space="preserve">are </w:t>
      </w:r>
      <w:r w:rsidR="00BE44F5" w:rsidRPr="00366CB8">
        <w:rPr>
          <w:sz w:val="22"/>
          <w:szCs w:val="22"/>
        </w:rPr>
        <w:t>made by</w:t>
      </w:r>
      <w:r w:rsidRPr="00366CB8">
        <w:rPr>
          <w:sz w:val="22"/>
          <w:szCs w:val="22"/>
        </w:rPr>
        <w:t xml:space="preserve"> the appropriate </w:t>
      </w:r>
      <w:r w:rsidR="00E7499B">
        <w:rPr>
          <w:sz w:val="22"/>
          <w:szCs w:val="22"/>
        </w:rPr>
        <w:t xml:space="preserve">investment or </w:t>
      </w:r>
      <w:r w:rsidRPr="00366CB8">
        <w:rPr>
          <w:sz w:val="22"/>
          <w:szCs w:val="22"/>
        </w:rPr>
        <w:t>fund man</w:t>
      </w:r>
      <w:r w:rsidR="00E23B76" w:rsidRPr="00366CB8">
        <w:rPr>
          <w:sz w:val="22"/>
          <w:szCs w:val="22"/>
        </w:rPr>
        <w:t>a</w:t>
      </w:r>
      <w:r w:rsidRPr="00366CB8">
        <w:rPr>
          <w:sz w:val="22"/>
          <w:szCs w:val="22"/>
        </w:rPr>
        <w:t>ger.</w:t>
      </w:r>
    </w:p>
    <w:p w14:paraId="6126C7C8" w14:textId="77777777" w:rsidR="00E6149E" w:rsidRPr="00366CB8" w:rsidRDefault="00E6149E" w:rsidP="00CA2880">
      <w:pPr>
        <w:spacing w:line="240" w:lineRule="auto"/>
        <w:rPr>
          <w:rFonts w:cs="Arial"/>
          <w:b/>
          <w:bCs/>
          <w:sz w:val="22"/>
          <w:szCs w:val="22"/>
          <w:lang w:val="en-US" w:eastAsia="en-US"/>
        </w:rPr>
      </w:pPr>
    </w:p>
    <w:p w14:paraId="27CB3F97" w14:textId="77777777" w:rsidR="00456FC4" w:rsidRPr="00366CB8" w:rsidRDefault="00456FC4" w:rsidP="00CA2880">
      <w:pPr>
        <w:spacing w:line="240" w:lineRule="auto"/>
        <w:rPr>
          <w:rFonts w:cs="Arial"/>
          <w:sz w:val="22"/>
          <w:szCs w:val="22"/>
          <w:lang w:val="en-US" w:eastAsia="en-US"/>
        </w:rPr>
      </w:pPr>
      <w:r w:rsidRPr="00366CB8">
        <w:rPr>
          <w:rFonts w:cs="Arial"/>
          <w:b/>
          <w:bCs/>
          <w:sz w:val="22"/>
          <w:szCs w:val="22"/>
          <w:lang w:val="en-US" w:eastAsia="en-US"/>
        </w:rPr>
        <w:t xml:space="preserve">Principle 2: Clear Objectives </w:t>
      </w:r>
    </w:p>
    <w:p w14:paraId="3B5347F7" w14:textId="77777777" w:rsidR="00456FC4" w:rsidRPr="00366CB8" w:rsidRDefault="00456FC4" w:rsidP="00CA2880">
      <w:pPr>
        <w:spacing w:line="240" w:lineRule="auto"/>
        <w:rPr>
          <w:rFonts w:cs="Arial"/>
          <w:sz w:val="22"/>
          <w:szCs w:val="22"/>
          <w:lang w:val="en-US" w:eastAsia="en-US"/>
        </w:rPr>
      </w:pPr>
    </w:p>
    <w:p w14:paraId="04FCACD8" w14:textId="77777777" w:rsidR="00456FC4" w:rsidRPr="00366CB8" w:rsidRDefault="00456FC4" w:rsidP="00CA2880">
      <w:pPr>
        <w:spacing w:line="240" w:lineRule="auto"/>
        <w:rPr>
          <w:rFonts w:cs="Arial"/>
          <w:i/>
          <w:sz w:val="22"/>
          <w:szCs w:val="22"/>
          <w:lang w:val="en-US" w:eastAsia="en-US"/>
        </w:rPr>
      </w:pPr>
      <w:r w:rsidRPr="00366CB8">
        <w:rPr>
          <w:rFonts w:cs="Arial"/>
          <w:i/>
          <w:sz w:val="22"/>
          <w:szCs w:val="22"/>
          <w:lang w:val="en-US" w:eastAsia="en-US"/>
        </w:rPr>
        <w:t>“Trustees should set out an overall investment objective(s) for the fund that takes account of the scheme’s liabilities, the strength of the sponsor covenant and the attitude to risk of both the trustees and the sponsor, and clearly communicate these to advisers and investment managers.”</w:t>
      </w:r>
    </w:p>
    <w:p w14:paraId="6C7F9356" w14:textId="77777777" w:rsidR="00456FC4" w:rsidRPr="00366CB8" w:rsidRDefault="00456FC4" w:rsidP="00CA2880">
      <w:pPr>
        <w:spacing w:line="240" w:lineRule="auto"/>
        <w:rPr>
          <w:rFonts w:cs="Arial"/>
          <w:sz w:val="22"/>
          <w:szCs w:val="22"/>
          <w:lang w:val="en-US" w:eastAsia="en-US"/>
        </w:rPr>
      </w:pPr>
    </w:p>
    <w:p w14:paraId="75444546" w14:textId="77777777" w:rsidR="009C14E4" w:rsidRPr="00366CB8" w:rsidRDefault="009C14E4" w:rsidP="00FF45A9">
      <w:pPr>
        <w:pStyle w:val="BodyText"/>
        <w:numPr>
          <w:ilvl w:val="0"/>
          <w:numId w:val="20"/>
        </w:numPr>
        <w:spacing w:after="0" w:line="240" w:lineRule="auto"/>
        <w:rPr>
          <w:sz w:val="22"/>
          <w:szCs w:val="22"/>
        </w:rPr>
      </w:pPr>
      <w:r w:rsidRPr="00366CB8">
        <w:rPr>
          <w:sz w:val="22"/>
          <w:szCs w:val="22"/>
        </w:rPr>
        <w:t xml:space="preserve">The Trustees have </w:t>
      </w:r>
      <w:r w:rsidR="00E6149E" w:rsidRPr="00366CB8">
        <w:rPr>
          <w:sz w:val="22"/>
          <w:szCs w:val="22"/>
        </w:rPr>
        <w:t xml:space="preserve">formally reviewed their investment objectives with the assistance of their </w:t>
      </w:r>
      <w:r w:rsidR="00E7499B">
        <w:rPr>
          <w:sz w:val="22"/>
          <w:szCs w:val="22"/>
        </w:rPr>
        <w:t>I</w:t>
      </w:r>
      <w:r w:rsidR="00E6149E" w:rsidRPr="00366CB8">
        <w:rPr>
          <w:sz w:val="22"/>
          <w:szCs w:val="22"/>
        </w:rPr>
        <w:t xml:space="preserve">nvestment </w:t>
      </w:r>
      <w:r w:rsidR="00E7499B">
        <w:rPr>
          <w:sz w:val="22"/>
          <w:szCs w:val="22"/>
        </w:rPr>
        <w:t>A</w:t>
      </w:r>
      <w:r w:rsidR="004D3753">
        <w:rPr>
          <w:sz w:val="22"/>
          <w:szCs w:val="22"/>
        </w:rPr>
        <w:t>dviser and the Scheme Actuary</w:t>
      </w:r>
      <w:r w:rsidRPr="00366CB8">
        <w:rPr>
          <w:sz w:val="22"/>
          <w:szCs w:val="22"/>
        </w:rPr>
        <w:t>.</w:t>
      </w:r>
    </w:p>
    <w:p w14:paraId="57227228" w14:textId="77777777" w:rsidR="00E6149E" w:rsidRPr="00366CB8" w:rsidRDefault="00E6149E" w:rsidP="00CA2880">
      <w:pPr>
        <w:pStyle w:val="BodyText"/>
        <w:spacing w:after="0" w:line="240" w:lineRule="auto"/>
        <w:rPr>
          <w:sz w:val="22"/>
          <w:szCs w:val="22"/>
        </w:rPr>
      </w:pPr>
    </w:p>
    <w:p w14:paraId="5F825FBE" w14:textId="77777777" w:rsidR="009C14E4" w:rsidRPr="00366CB8" w:rsidRDefault="00E6149E" w:rsidP="00FF45A9">
      <w:pPr>
        <w:pStyle w:val="BodyText"/>
        <w:numPr>
          <w:ilvl w:val="0"/>
          <w:numId w:val="20"/>
        </w:numPr>
        <w:spacing w:after="0" w:line="240" w:lineRule="auto"/>
        <w:rPr>
          <w:sz w:val="22"/>
          <w:szCs w:val="22"/>
        </w:rPr>
      </w:pPr>
      <w:r w:rsidRPr="00366CB8">
        <w:rPr>
          <w:sz w:val="22"/>
          <w:szCs w:val="22"/>
        </w:rPr>
        <w:t>The investment objectives are explicitly stated in Section 3 of this document</w:t>
      </w:r>
      <w:r w:rsidR="009C14E4" w:rsidRPr="00366CB8">
        <w:rPr>
          <w:sz w:val="22"/>
          <w:szCs w:val="22"/>
        </w:rPr>
        <w:t>.</w:t>
      </w:r>
    </w:p>
    <w:p w14:paraId="279FD57D" w14:textId="77777777" w:rsidR="00E6149E" w:rsidRPr="00366CB8" w:rsidRDefault="00E6149E" w:rsidP="00CA2880">
      <w:pPr>
        <w:pStyle w:val="BodyText"/>
        <w:spacing w:after="0" w:line="240" w:lineRule="auto"/>
        <w:rPr>
          <w:sz w:val="22"/>
          <w:szCs w:val="22"/>
        </w:rPr>
      </w:pPr>
    </w:p>
    <w:p w14:paraId="39CDF19B" w14:textId="55FB6261" w:rsidR="00E6149E" w:rsidRPr="00366CB8" w:rsidRDefault="00E6149E" w:rsidP="00FF45A9">
      <w:pPr>
        <w:pStyle w:val="BodyText"/>
        <w:numPr>
          <w:ilvl w:val="0"/>
          <w:numId w:val="20"/>
        </w:numPr>
        <w:spacing w:after="0" w:line="240" w:lineRule="auto"/>
        <w:rPr>
          <w:sz w:val="22"/>
          <w:szCs w:val="22"/>
        </w:rPr>
      </w:pPr>
      <w:r w:rsidRPr="00366CB8">
        <w:rPr>
          <w:sz w:val="22"/>
          <w:szCs w:val="22"/>
        </w:rPr>
        <w:t>The strength of the sponsor</w:t>
      </w:r>
      <w:r w:rsidR="00E7499B">
        <w:rPr>
          <w:sz w:val="22"/>
          <w:szCs w:val="22"/>
        </w:rPr>
        <w:t>ing employer</w:t>
      </w:r>
      <w:r w:rsidRPr="00366CB8">
        <w:rPr>
          <w:sz w:val="22"/>
          <w:szCs w:val="22"/>
        </w:rPr>
        <w:t xml:space="preserve">’s covenant is reviewed </w:t>
      </w:r>
      <w:r w:rsidR="00D5223C">
        <w:rPr>
          <w:sz w:val="22"/>
          <w:szCs w:val="22"/>
        </w:rPr>
        <w:t xml:space="preserve">no less frequently than </w:t>
      </w:r>
      <w:r w:rsidR="00FA007B">
        <w:rPr>
          <w:sz w:val="22"/>
          <w:szCs w:val="22"/>
        </w:rPr>
        <w:t>annually</w:t>
      </w:r>
      <w:r w:rsidRPr="00366CB8">
        <w:rPr>
          <w:sz w:val="22"/>
          <w:szCs w:val="22"/>
        </w:rPr>
        <w:t>.</w:t>
      </w:r>
    </w:p>
    <w:p w14:paraId="2CBA8EF1" w14:textId="77777777" w:rsidR="00E6149E" w:rsidRPr="00366CB8" w:rsidRDefault="00E6149E" w:rsidP="00CA2880">
      <w:pPr>
        <w:pStyle w:val="BodyText"/>
        <w:spacing w:after="0" w:line="240" w:lineRule="auto"/>
        <w:rPr>
          <w:sz w:val="22"/>
          <w:szCs w:val="22"/>
        </w:rPr>
      </w:pPr>
    </w:p>
    <w:p w14:paraId="0C0A7FE8" w14:textId="77777777" w:rsidR="00E6149E" w:rsidRPr="00366CB8" w:rsidRDefault="00E6149E" w:rsidP="00FF45A9">
      <w:pPr>
        <w:pStyle w:val="BodyText"/>
        <w:numPr>
          <w:ilvl w:val="0"/>
          <w:numId w:val="20"/>
        </w:numPr>
        <w:spacing w:after="0" w:line="240" w:lineRule="auto"/>
        <w:rPr>
          <w:sz w:val="22"/>
          <w:szCs w:val="22"/>
        </w:rPr>
      </w:pPr>
      <w:r w:rsidRPr="00366CB8">
        <w:rPr>
          <w:sz w:val="22"/>
          <w:szCs w:val="22"/>
        </w:rPr>
        <w:t>All the assets of the Scheme are invested via pooled funds.  In each case, the fund manager has an explicit benchmark and outperformance target</w:t>
      </w:r>
      <w:r w:rsidR="00183C1D" w:rsidRPr="00366CB8">
        <w:rPr>
          <w:sz w:val="22"/>
          <w:szCs w:val="22"/>
        </w:rPr>
        <w:t xml:space="preserve"> where </w:t>
      </w:r>
      <w:r w:rsidR="00CC7E6C" w:rsidRPr="00366CB8">
        <w:rPr>
          <w:sz w:val="22"/>
          <w:szCs w:val="22"/>
        </w:rPr>
        <w:t>appropriate</w:t>
      </w:r>
      <w:r w:rsidRPr="00366CB8">
        <w:rPr>
          <w:sz w:val="22"/>
          <w:szCs w:val="22"/>
        </w:rPr>
        <w:t>, as well as clear constraints within which to operate.</w:t>
      </w:r>
    </w:p>
    <w:p w14:paraId="09D99E48" w14:textId="77777777" w:rsidR="007B39C5" w:rsidRPr="00366CB8" w:rsidRDefault="007B39C5" w:rsidP="00CA2880">
      <w:pPr>
        <w:pStyle w:val="BodyText"/>
        <w:spacing w:after="0" w:line="240" w:lineRule="auto"/>
        <w:rPr>
          <w:sz w:val="22"/>
          <w:szCs w:val="22"/>
        </w:rPr>
      </w:pPr>
    </w:p>
    <w:p w14:paraId="7C99F011" w14:textId="77777777" w:rsidR="00B91461" w:rsidRPr="00CC7E6C" w:rsidRDefault="00B91461" w:rsidP="00CA2880">
      <w:pPr>
        <w:pStyle w:val="BodyText"/>
        <w:spacing w:after="0" w:line="240" w:lineRule="auto"/>
        <w:rPr>
          <w:rFonts w:cs="Arial"/>
          <w:b/>
          <w:bCs/>
          <w:sz w:val="22"/>
          <w:szCs w:val="22"/>
        </w:rPr>
      </w:pPr>
      <w:r w:rsidRPr="00CC7E6C">
        <w:rPr>
          <w:rFonts w:cs="Arial"/>
          <w:b/>
          <w:bCs/>
          <w:sz w:val="22"/>
          <w:szCs w:val="22"/>
        </w:rPr>
        <w:t xml:space="preserve">Principle 3: Risk and Liabilities </w:t>
      </w:r>
    </w:p>
    <w:p w14:paraId="389BBA0E" w14:textId="77777777" w:rsidR="00B91461" w:rsidRPr="00CC7E6C" w:rsidRDefault="00B91461" w:rsidP="00CA2880">
      <w:pPr>
        <w:pStyle w:val="BodyText"/>
        <w:spacing w:after="0" w:line="240" w:lineRule="auto"/>
        <w:rPr>
          <w:rFonts w:cs="Arial"/>
          <w:b/>
          <w:bCs/>
          <w:sz w:val="22"/>
          <w:szCs w:val="22"/>
        </w:rPr>
      </w:pPr>
    </w:p>
    <w:p w14:paraId="493D8AEB" w14:textId="77777777" w:rsidR="009C14E4" w:rsidRPr="00CC7E6C" w:rsidRDefault="00E6149E" w:rsidP="00CA2880">
      <w:pPr>
        <w:pStyle w:val="BodyText"/>
        <w:spacing w:after="0" w:line="240" w:lineRule="auto"/>
        <w:rPr>
          <w:rFonts w:cs="Arial"/>
          <w:bCs/>
          <w:i/>
          <w:sz w:val="22"/>
          <w:szCs w:val="22"/>
        </w:rPr>
      </w:pPr>
      <w:r w:rsidRPr="00CC7E6C">
        <w:rPr>
          <w:rFonts w:cs="Arial"/>
          <w:bCs/>
          <w:i/>
          <w:sz w:val="22"/>
          <w:szCs w:val="22"/>
        </w:rPr>
        <w:t>“</w:t>
      </w:r>
      <w:r w:rsidR="00B91461" w:rsidRPr="00CC7E6C">
        <w:rPr>
          <w:rFonts w:cs="Arial"/>
          <w:bCs/>
          <w:i/>
          <w:sz w:val="22"/>
          <w:szCs w:val="22"/>
        </w:rPr>
        <w:t>In setting and reviewing their investment strategy, trustees should take account of the form and structure of liabilities. These include the strength of the sponsor covenant, the risk of sponsor default and longevity risk.</w:t>
      </w:r>
      <w:r w:rsidRPr="00CC7E6C">
        <w:rPr>
          <w:rFonts w:cs="Arial"/>
          <w:bCs/>
          <w:i/>
          <w:sz w:val="22"/>
          <w:szCs w:val="22"/>
        </w:rPr>
        <w:t>”</w:t>
      </w:r>
    </w:p>
    <w:p w14:paraId="59073F6C" w14:textId="77777777" w:rsidR="003A54D0" w:rsidRPr="00CC7E6C" w:rsidRDefault="003A54D0" w:rsidP="00CA2880">
      <w:pPr>
        <w:pStyle w:val="BodyText"/>
        <w:spacing w:after="0" w:line="240" w:lineRule="auto"/>
        <w:rPr>
          <w:rFonts w:cs="Arial"/>
          <w:bCs/>
          <w:i/>
          <w:sz w:val="22"/>
          <w:szCs w:val="22"/>
        </w:rPr>
      </w:pPr>
    </w:p>
    <w:p w14:paraId="0618FB36" w14:textId="07C49156" w:rsidR="00FA007B" w:rsidRDefault="003A54D0" w:rsidP="00FF45A9">
      <w:pPr>
        <w:pStyle w:val="BodyText"/>
        <w:numPr>
          <w:ilvl w:val="0"/>
          <w:numId w:val="21"/>
        </w:numPr>
        <w:spacing w:after="0" w:line="240" w:lineRule="auto"/>
        <w:rPr>
          <w:rFonts w:cs="Arial"/>
          <w:bCs/>
          <w:sz w:val="22"/>
          <w:szCs w:val="22"/>
        </w:rPr>
      </w:pPr>
      <w:r w:rsidRPr="00CC7E6C">
        <w:rPr>
          <w:rFonts w:cs="Arial"/>
          <w:bCs/>
          <w:sz w:val="22"/>
          <w:szCs w:val="22"/>
        </w:rPr>
        <w:t xml:space="preserve">In </w:t>
      </w:r>
      <w:r w:rsidR="00FA007B">
        <w:rPr>
          <w:rFonts w:cs="Arial"/>
          <w:bCs/>
          <w:sz w:val="22"/>
          <w:szCs w:val="22"/>
        </w:rPr>
        <w:t>setting</w:t>
      </w:r>
      <w:r w:rsidRPr="00CC7E6C">
        <w:rPr>
          <w:rFonts w:cs="Arial"/>
          <w:bCs/>
          <w:sz w:val="22"/>
          <w:szCs w:val="22"/>
        </w:rPr>
        <w:t xml:space="preserve"> the investment strategy, the </w:t>
      </w:r>
      <w:r w:rsidR="00175242" w:rsidRPr="00CC7E6C">
        <w:rPr>
          <w:rFonts w:cs="Arial"/>
          <w:bCs/>
          <w:sz w:val="22"/>
          <w:szCs w:val="22"/>
        </w:rPr>
        <w:t xml:space="preserve">Trustees </w:t>
      </w:r>
      <w:r w:rsidR="00FA007B">
        <w:rPr>
          <w:rFonts w:cs="Arial"/>
          <w:bCs/>
          <w:sz w:val="22"/>
          <w:szCs w:val="22"/>
        </w:rPr>
        <w:t xml:space="preserve">have decided to </w:t>
      </w:r>
      <w:r w:rsidR="005E0C23">
        <w:rPr>
          <w:rFonts w:cs="Arial"/>
          <w:bCs/>
          <w:sz w:val="22"/>
          <w:szCs w:val="22"/>
        </w:rPr>
        <w:t xml:space="preserve">invest </w:t>
      </w:r>
      <w:r w:rsidR="00FF0D03">
        <w:rPr>
          <w:rFonts w:cs="Arial"/>
          <w:bCs/>
          <w:sz w:val="22"/>
          <w:szCs w:val="22"/>
        </w:rPr>
        <w:t>37</w:t>
      </w:r>
      <w:r w:rsidR="007D75D1">
        <w:rPr>
          <w:rFonts w:cs="Arial"/>
          <w:bCs/>
          <w:sz w:val="22"/>
          <w:szCs w:val="22"/>
        </w:rPr>
        <w:t xml:space="preserve">% of fund assets in equities, </w:t>
      </w:r>
      <w:r w:rsidR="00FF0D03">
        <w:rPr>
          <w:rFonts w:cs="Arial"/>
          <w:bCs/>
          <w:sz w:val="22"/>
          <w:szCs w:val="22"/>
        </w:rPr>
        <w:t>63</w:t>
      </w:r>
      <w:r w:rsidR="007D75D1">
        <w:rPr>
          <w:rFonts w:cs="Arial"/>
          <w:bCs/>
          <w:sz w:val="22"/>
          <w:szCs w:val="22"/>
        </w:rPr>
        <w:t xml:space="preserve">% in bonds and cash, and </w:t>
      </w:r>
      <w:r w:rsidR="005E0C23">
        <w:rPr>
          <w:rFonts w:cs="Arial"/>
          <w:bCs/>
          <w:sz w:val="22"/>
          <w:szCs w:val="22"/>
        </w:rPr>
        <w:t>0</w:t>
      </w:r>
      <w:r w:rsidR="007D75D1">
        <w:rPr>
          <w:rFonts w:cs="Arial"/>
          <w:bCs/>
          <w:sz w:val="22"/>
          <w:szCs w:val="22"/>
        </w:rPr>
        <w:t xml:space="preserve">% in other asset classes. </w:t>
      </w:r>
      <w:r w:rsidR="00FA007B">
        <w:rPr>
          <w:rFonts w:cs="Arial"/>
          <w:bCs/>
          <w:sz w:val="22"/>
          <w:szCs w:val="22"/>
        </w:rPr>
        <w:t xml:space="preserve">Pensioner liabilities </w:t>
      </w:r>
      <w:r w:rsidR="00FF0D03">
        <w:rPr>
          <w:rFonts w:cs="Arial"/>
          <w:bCs/>
          <w:sz w:val="22"/>
          <w:szCs w:val="22"/>
        </w:rPr>
        <w:t>based on</w:t>
      </w:r>
      <w:r w:rsidR="005E0C23">
        <w:rPr>
          <w:rFonts w:cs="Arial"/>
          <w:bCs/>
          <w:sz w:val="22"/>
          <w:szCs w:val="22"/>
        </w:rPr>
        <w:t xml:space="preserve"> the </w:t>
      </w:r>
      <w:r w:rsidR="00FF0D03">
        <w:rPr>
          <w:rFonts w:cs="Arial"/>
          <w:bCs/>
          <w:sz w:val="22"/>
          <w:szCs w:val="22"/>
        </w:rPr>
        <w:t xml:space="preserve">2022 </w:t>
      </w:r>
      <w:r w:rsidR="005E0C23">
        <w:rPr>
          <w:rFonts w:cs="Arial"/>
          <w:bCs/>
          <w:sz w:val="22"/>
          <w:szCs w:val="22"/>
        </w:rPr>
        <w:t xml:space="preserve">actuarial valuation </w:t>
      </w:r>
      <w:r w:rsidR="00FA007B">
        <w:rPr>
          <w:rFonts w:cs="Arial"/>
          <w:bCs/>
          <w:sz w:val="22"/>
          <w:szCs w:val="22"/>
        </w:rPr>
        <w:t>account</w:t>
      </w:r>
      <w:r w:rsidR="005E0C23">
        <w:rPr>
          <w:rFonts w:cs="Arial"/>
          <w:bCs/>
          <w:sz w:val="22"/>
          <w:szCs w:val="22"/>
        </w:rPr>
        <w:t>ed</w:t>
      </w:r>
      <w:r w:rsidR="00FA007B">
        <w:rPr>
          <w:rFonts w:cs="Arial"/>
          <w:bCs/>
          <w:sz w:val="22"/>
          <w:szCs w:val="22"/>
        </w:rPr>
        <w:t xml:space="preserve"> for approximately </w:t>
      </w:r>
      <w:r w:rsidR="00FF0D03">
        <w:rPr>
          <w:rFonts w:cs="Arial"/>
          <w:bCs/>
          <w:sz w:val="22"/>
          <w:szCs w:val="22"/>
        </w:rPr>
        <w:t>67</w:t>
      </w:r>
      <w:r w:rsidR="00674BBC">
        <w:rPr>
          <w:rFonts w:cs="Arial"/>
          <w:bCs/>
          <w:sz w:val="22"/>
          <w:szCs w:val="22"/>
        </w:rPr>
        <w:t xml:space="preserve">% of total </w:t>
      </w:r>
      <w:r w:rsidR="00FF0D03">
        <w:rPr>
          <w:rFonts w:cs="Arial"/>
          <w:bCs/>
          <w:sz w:val="22"/>
          <w:szCs w:val="22"/>
        </w:rPr>
        <w:t xml:space="preserve">benefit </w:t>
      </w:r>
      <w:r w:rsidR="00674BBC">
        <w:rPr>
          <w:rFonts w:cs="Arial"/>
          <w:bCs/>
          <w:sz w:val="22"/>
          <w:szCs w:val="22"/>
        </w:rPr>
        <w:t xml:space="preserve">liabilities, </w:t>
      </w:r>
      <w:r w:rsidR="00FF0D03">
        <w:rPr>
          <w:rFonts w:cs="Arial"/>
          <w:bCs/>
          <w:sz w:val="22"/>
          <w:szCs w:val="22"/>
        </w:rPr>
        <w:t>excluding those members whose benefits have been secured through the buy-in</w:t>
      </w:r>
      <w:r w:rsidR="007D75D1">
        <w:rPr>
          <w:rFonts w:cs="Arial"/>
          <w:bCs/>
          <w:sz w:val="22"/>
          <w:szCs w:val="22"/>
        </w:rPr>
        <w:t xml:space="preserve">. </w:t>
      </w:r>
    </w:p>
    <w:p w14:paraId="076A0C74" w14:textId="77777777" w:rsidR="007D75D1" w:rsidRPr="00CC7E6C" w:rsidRDefault="007D75D1" w:rsidP="007D75D1">
      <w:pPr>
        <w:pStyle w:val="BodyText"/>
        <w:spacing w:after="0" w:line="240" w:lineRule="auto"/>
        <w:ind w:left="360"/>
        <w:rPr>
          <w:rFonts w:cs="Arial"/>
          <w:bCs/>
          <w:sz w:val="22"/>
          <w:szCs w:val="22"/>
        </w:rPr>
      </w:pPr>
    </w:p>
    <w:p w14:paraId="7EF8F8ED" w14:textId="09B4A3F1" w:rsidR="007B39C5" w:rsidRPr="00674BBC" w:rsidRDefault="007D75D1" w:rsidP="00FF45A9">
      <w:pPr>
        <w:pStyle w:val="BodyText"/>
        <w:numPr>
          <w:ilvl w:val="0"/>
          <w:numId w:val="21"/>
        </w:numPr>
        <w:spacing w:after="0" w:line="240" w:lineRule="auto"/>
        <w:rPr>
          <w:rFonts w:cs="Arial"/>
          <w:bCs/>
          <w:sz w:val="22"/>
          <w:szCs w:val="22"/>
        </w:rPr>
      </w:pPr>
      <w:r w:rsidRPr="00674BBC">
        <w:rPr>
          <w:rFonts w:cs="Arial"/>
          <w:bCs/>
          <w:sz w:val="22"/>
          <w:szCs w:val="22"/>
        </w:rPr>
        <w:lastRenderedPageBreak/>
        <w:t>A detailed review of the strength of the sponsor covenant has been undertaken</w:t>
      </w:r>
      <w:r w:rsidR="00674BBC">
        <w:rPr>
          <w:rFonts w:cs="Arial"/>
          <w:bCs/>
          <w:sz w:val="22"/>
          <w:szCs w:val="22"/>
        </w:rPr>
        <w:t xml:space="preserve"> prior to completion of the </w:t>
      </w:r>
      <w:r w:rsidR="00FF0D03">
        <w:rPr>
          <w:rFonts w:cs="Arial"/>
          <w:bCs/>
          <w:sz w:val="22"/>
          <w:szCs w:val="22"/>
        </w:rPr>
        <w:t>2022</w:t>
      </w:r>
      <w:r w:rsidR="00674BBC">
        <w:rPr>
          <w:rFonts w:cs="Arial"/>
          <w:bCs/>
          <w:sz w:val="22"/>
          <w:szCs w:val="22"/>
        </w:rPr>
        <w:t>actuarial valuation</w:t>
      </w:r>
      <w:r w:rsidRPr="00674BBC">
        <w:rPr>
          <w:rFonts w:cs="Arial"/>
          <w:bCs/>
          <w:sz w:val="22"/>
          <w:szCs w:val="22"/>
        </w:rPr>
        <w:t xml:space="preserve">. </w:t>
      </w:r>
      <w:r w:rsidR="00674BBC">
        <w:rPr>
          <w:rFonts w:cs="Arial"/>
          <w:bCs/>
          <w:sz w:val="22"/>
          <w:szCs w:val="22"/>
        </w:rPr>
        <w:t xml:space="preserve">The covenant has weakened materially </w:t>
      </w:r>
      <w:r w:rsidR="00FF0D03">
        <w:rPr>
          <w:rFonts w:cs="Arial"/>
          <w:bCs/>
          <w:sz w:val="22"/>
          <w:szCs w:val="22"/>
        </w:rPr>
        <w:t xml:space="preserve">following the completion of </w:t>
      </w:r>
      <w:r w:rsidR="00674BBC">
        <w:rPr>
          <w:rFonts w:cs="Arial"/>
          <w:bCs/>
          <w:sz w:val="22"/>
          <w:szCs w:val="22"/>
        </w:rPr>
        <w:t>the Maltings development project</w:t>
      </w:r>
      <w:r w:rsidR="00FF0D03">
        <w:rPr>
          <w:rFonts w:cs="Arial"/>
          <w:bCs/>
          <w:sz w:val="22"/>
          <w:szCs w:val="22"/>
        </w:rPr>
        <w:t xml:space="preserve">. </w:t>
      </w:r>
      <w:r w:rsidR="005E0C23">
        <w:rPr>
          <w:rFonts w:cs="Arial"/>
          <w:bCs/>
          <w:sz w:val="22"/>
          <w:szCs w:val="22"/>
        </w:rPr>
        <w:t xml:space="preserve">A successful outcome to </w:t>
      </w:r>
      <w:r w:rsidR="007D0C98">
        <w:rPr>
          <w:rFonts w:cs="Arial"/>
          <w:bCs/>
          <w:sz w:val="22"/>
          <w:szCs w:val="22"/>
        </w:rPr>
        <w:t>securing permission for</w:t>
      </w:r>
      <w:r w:rsidR="00DB733C">
        <w:rPr>
          <w:rFonts w:cs="Arial"/>
          <w:bCs/>
          <w:sz w:val="22"/>
          <w:szCs w:val="22"/>
        </w:rPr>
        <w:t xml:space="preserve"> the development of the sponsor</w:t>
      </w:r>
      <w:r w:rsidR="007D0C98">
        <w:rPr>
          <w:rFonts w:cs="Arial"/>
          <w:bCs/>
          <w:sz w:val="22"/>
          <w:szCs w:val="22"/>
        </w:rPr>
        <w:t>’</w:t>
      </w:r>
      <w:r w:rsidR="00DB733C">
        <w:rPr>
          <w:rFonts w:cs="Arial"/>
          <w:bCs/>
          <w:sz w:val="22"/>
          <w:szCs w:val="22"/>
        </w:rPr>
        <w:t xml:space="preserve">s only remaining </w:t>
      </w:r>
      <w:r w:rsidR="007D0C98">
        <w:rPr>
          <w:rFonts w:cs="Arial"/>
          <w:bCs/>
          <w:sz w:val="22"/>
          <w:szCs w:val="22"/>
        </w:rPr>
        <w:t xml:space="preserve">significant </w:t>
      </w:r>
      <w:r w:rsidR="00DB733C">
        <w:rPr>
          <w:rFonts w:cs="Arial"/>
          <w:bCs/>
          <w:sz w:val="22"/>
          <w:szCs w:val="22"/>
        </w:rPr>
        <w:t xml:space="preserve">asset, the land at Claydon, </w:t>
      </w:r>
      <w:r w:rsidR="007D0C98">
        <w:rPr>
          <w:rFonts w:cs="Arial"/>
          <w:bCs/>
          <w:sz w:val="22"/>
          <w:szCs w:val="22"/>
        </w:rPr>
        <w:t>c</w:t>
      </w:r>
      <w:r w:rsidR="00DB733C">
        <w:rPr>
          <w:rFonts w:cs="Arial"/>
          <w:bCs/>
          <w:sz w:val="22"/>
          <w:szCs w:val="22"/>
        </w:rPr>
        <w:t>ould change this assessment.</w:t>
      </w:r>
    </w:p>
    <w:p w14:paraId="0A356815" w14:textId="77777777" w:rsidR="00FD5119" w:rsidRDefault="00FD5119" w:rsidP="00CA2880">
      <w:pPr>
        <w:pStyle w:val="BodyText"/>
        <w:spacing w:after="0" w:line="240" w:lineRule="auto"/>
        <w:rPr>
          <w:rFonts w:cs="Arial"/>
          <w:b/>
          <w:iCs/>
          <w:sz w:val="22"/>
          <w:szCs w:val="22"/>
        </w:rPr>
      </w:pPr>
    </w:p>
    <w:p w14:paraId="30729FBF" w14:textId="49CAF568" w:rsidR="00B91461" w:rsidRPr="00CC7E6C" w:rsidRDefault="00B91461" w:rsidP="00CA2880">
      <w:pPr>
        <w:pStyle w:val="BodyText"/>
        <w:spacing w:after="0" w:line="240" w:lineRule="auto"/>
        <w:rPr>
          <w:rFonts w:cs="Arial"/>
          <w:b/>
          <w:iCs/>
          <w:sz w:val="22"/>
          <w:szCs w:val="22"/>
        </w:rPr>
      </w:pPr>
      <w:r w:rsidRPr="00CC7E6C">
        <w:rPr>
          <w:rFonts w:cs="Arial"/>
          <w:b/>
          <w:iCs/>
          <w:sz w:val="22"/>
          <w:szCs w:val="22"/>
        </w:rPr>
        <w:t xml:space="preserve">Principle 4: Performance Assessment </w:t>
      </w:r>
    </w:p>
    <w:p w14:paraId="386741C5" w14:textId="77777777" w:rsidR="003A54D0" w:rsidRPr="00CC7E6C" w:rsidRDefault="003A54D0" w:rsidP="00CA2880">
      <w:pPr>
        <w:pStyle w:val="BodyText"/>
        <w:spacing w:after="0" w:line="240" w:lineRule="auto"/>
        <w:rPr>
          <w:rFonts w:cs="Arial"/>
          <w:i/>
          <w:iCs/>
          <w:sz w:val="22"/>
          <w:szCs w:val="22"/>
        </w:rPr>
      </w:pPr>
    </w:p>
    <w:p w14:paraId="6C53052B" w14:textId="77777777" w:rsidR="00B91461" w:rsidRPr="00CC7E6C" w:rsidRDefault="00175242" w:rsidP="00CA2880">
      <w:pPr>
        <w:pStyle w:val="BodyText"/>
        <w:spacing w:after="0" w:line="240" w:lineRule="auto"/>
        <w:rPr>
          <w:rFonts w:cs="Arial"/>
          <w:i/>
          <w:iCs/>
          <w:sz w:val="22"/>
          <w:szCs w:val="22"/>
        </w:rPr>
      </w:pPr>
      <w:r w:rsidRPr="00CC7E6C">
        <w:rPr>
          <w:rFonts w:cs="Arial"/>
          <w:i/>
          <w:iCs/>
          <w:sz w:val="22"/>
          <w:szCs w:val="22"/>
        </w:rPr>
        <w:t>“</w:t>
      </w:r>
      <w:r w:rsidR="00B91461" w:rsidRPr="00CC7E6C">
        <w:rPr>
          <w:rFonts w:cs="Arial"/>
          <w:i/>
          <w:iCs/>
          <w:sz w:val="22"/>
          <w:szCs w:val="22"/>
        </w:rPr>
        <w:t>Trustees should arrange for the formal measurement of the performance of the investments, investment managers and advisors. Trustees should also periodically make a formal policy assessment of their own effectiveness as a decision-making body and report on this to scheme members.</w:t>
      </w:r>
      <w:r w:rsidRPr="00CC7E6C">
        <w:rPr>
          <w:rFonts w:cs="Arial"/>
          <w:i/>
          <w:iCs/>
          <w:sz w:val="22"/>
          <w:szCs w:val="22"/>
        </w:rPr>
        <w:t>”</w:t>
      </w:r>
    </w:p>
    <w:p w14:paraId="47FA4452" w14:textId="77777777" w:rsidR="00175242" w:rsidRPr="00CC7E6C" w:rsidRDefault="00175242" w:rsidP="00CA2880">
      <w:pPr>
        <w:pStyle w:val="BodyText"/>
        <w:spacing w:after="0" w:line="240" w:lineRule="auto"/>
        <w:rPr>
          <w:rFonts w:cs="Arial"/>
          <w:sz w:val="22"/>
          <w:szCs w:val="22"/>
        </w:rPr>
      </w:pPr>
    </w:p>
    <w:p w14:paraId="671BE7CF" w14:textId="6684DFB9" w:rsidR="00175242" w:rsidRDefault="007D75D1" w:rsidP="00FF45A9">
      <w:pPr>
        <w:pStyle w:val="BodyText"/>
        <w:numPr>
          <w:ilvl w:val="0"/>
          <w:numId w:val="22"/>
        </w:numPr>
        <w:spacing w:after="0" w:line="240" w:lineRule="auto"/>
        <w:rPr>
          <w:rFonts w:cs="Arial"/>
          <w:sz w:val="22"/>
          <w:szCs w:val="22"/>
        </w:rPr>
      </w:pPr>
      <w:r w:rsidRPr="007D75D1">
        <w:rPr>
          <w:rFonts w:cs="Arial"/>
          <w:sz w:val="22"/>
          <w:szCs w:val="22"/>
        </w:rPr>
        <w:t>The Trustees currently receive monthly</w:t>
      </w:r>
      <w:r w:rsidR="0045780E" w:rsidRPr="007D75D1">
        <w:rPr>
          <w:rFonts w:cs="Arial"/>
          <w:sz w:val="22"/>
          <w:szCs w:val="22"/>
        </w:rPr>
        <w:t xml:space="preserve"> </w:t>
      </w:r>
      <w:r w:rsidRPr="007D75D1">
        <w:rPr>
          <w:rFonts w:cs="Arial"/>
          <w:sz w:val="22"/>
          <w:szCs w:val="22"/>
        </w:rPr>
        <w:t xml:space="preserve">reports </w:t>
      </w:r>
      <w:r w:rsidR="00674BBC">
        <w:rPr>
          <w:rFonts w:cs="Arial"/>
          <w:sz w:val="22"/>
          <w:szCs w:val="22"/>
        </w:rPr>
        <w:t xml:space="preserve">of the value of the funds and review the performance of the funds with the Investment Adviser </w:t>
      </w:r>
      <w:r w:rsidR="00D87FF5">
        <w:rPr>
          <w:rFonts w:cs="Arial"/>
          <w:sz w:val="22"/>
          <w:szCs w:val="22"/>
        </w:rPr>
        <w:t>twice a year.</w:t>
      </w:r>
    </w:p>
    <w:p w14:paraId="3498F13A" w14:textId="77777777" w:rsidR="007D75D1" w:rsidRPr="007D75D1" w:rsidRDefault="007D75D1" w:rsidP="007D75D1">
      <w:pPr>
        <w:pStyle w:val="BodyText"/>
        <w:spacing w:after="0" w:line="240" w:lineRule="auto"/>
        <w:ind w:left="360"/>
        <w:rPr>
          <w:rFonts w:cs="Arial"/>
          <w:sz w:val="22"/>
          <w:szCs w:val="22"/>
        </w:rPr>
      </w:pPr>
    </w:p>
    <w:p w14:paraId="6A6B0FAA" w14:textId="6FA65559" w:rsidR="00175242" w:rsidRPr="00CC7E6C" w:rsidRDefault="00175242" w:rsidP="00FF45A9">
      <w:pPr>
        <w:pStyle w:val="BodyText"/>
        <w:numPr>
          <w:ilvl w:val="0"/>
          <w:numId w:val="21"/>
        </w:numPr>
        <w:spacing w:after="0" w:line="240" w:lineRule="auto"/>
        <w:rPr>
          <w:rFonts w:cs="Arial"/>
          <w:color w:val="FF0000"/>
          <w:sz w:val="22"/>
          <w:szCs w:val="22"/>
        </w:rPr>
      </w:pPr>
      <w:r w:rsidRPr="000B2AFC">
        <w:rPr>
          <w:rFonts w:cs="Arial"/>
          <w:bCs/>
          <w:sz w:val="22"/>
          <w:szCs w:val="22"/>
        </w:rPr>
        <w:t xml:space="preserve">The investment </w:t>
      </w:r>
      <w:r w:rsidR="00D87FF5">
        <w:rPr>
          <w:rFonts w:cs="Arial"/>
          <w:bCs/>
          <w:sz w:val="22"/>
          <w:szCs w:val="22"/>
        </w:rPr>
        <w:t>review</w:t>
      </w:r>
      <w:r w:rsidRPr="000B2AFC">
        <w:rPr>
          <w:rFonts w:cs="Arial"/>
          <w:bCs/>
          <w:sz w:val="22"/>
          <w:szCs w:val="22"/>
        </w:rPr>
        <w:t xml:space="preserve"> include</w:t>
      </w:r>
      <w:r w:rsidR="00D87FF5">
        <w:rPr>
          <w:rFonts w:cs="Arial"/>
          <w:bCs/>
          <w:sz w:val="22"/>
          <w:szCs w:val="22"/>
        </w:rPr>
        <w:t>s</w:t>
      </w:r>
      <w:r w:rsidRPr="000B2AFC">
        <w:rPr>
          <w:rFonts w:cs="Arial"/>
          <w:bCs/>
          <w:sz w:val="22"/>
          <w:szCs w:val="22"/>
        </w:rPr>
        <w:t xml:space="preserve"> an assessment of </w:t>
      </w:r>
      <w:r w:rsidR="0045780E" w:rsidRPr="000B2AFC">
        <w:rPr>
          <w:rFonts w:cs="Arial"/>
          <w:bCs/>
          <w:sz w:val="22"/>
          <w:szCs w:val="22"/>
        </w:rPr>
        <w:t xml:space="preserve">how successful the </w:t>
      </w:r>
      <w:r w:rsidR="00D87FF5">
        <w:rPr>
          <w:rFonts w:cs="Arial"/>
          <w:bCs/>
          <w:sz w:val="22"/>
          <w:szCs w:val="22"/>
        </w:rPr>
        <w:t>T</w:t>
      </w:r>
      <w:r w:rsidR="0045780E" w:rsidRPr="000B2AFC">
        <w:rPr>
          <w:rFonts w:cs="Arial"/>
          <w:bCs/>
          <w:sz w:val="22"/>
          <w:szCs w:val="22"/>
        </w:rPr>
        <w:t xml:space="preserve">rustees’ investment strategy has been in improving the funding position of the </w:t>
      </w:r>
      <w:r w:rsidR="005801F4" w:rsidRPr="000B2AFC">
        <w:rPr>
          <w:rFonts w:cs="Arial"/>
          <w:bCs/>
          <w:sz w:val="22"/>
          <w:szCs w:val="22"/>
        </w:rPr>
        <w:t>S</w:t>
      </w:r>
      <w:r w:rsidR="0045780E" w:rsidRPr="000B2AFC">
        <w:rPr>
          <w:rFonts w:cs="Arial"/>
          <w:bCs/>
          <w:sz w:val="22"/>
          <w:szCs w:val="22"/>
        </w:rPr>
        <w:t xml:space="preserve">cheme.  </w:t>
      </w:r>
      <w:r w:rsidR="0045780E" w:rsidRPr="00CC7E6C">
        <w:rPr>
          <w:rFonts w:cs="Arial"/>
          <w:bCs/>
          <w:color w:val="FF0000"/>
          <w:sz w:val="22"/>
          <w:szCs w:val="22"/>
        </w:rPr>
        <w:t xml:space="preserve">  </w:t>
      </w:r>
    </w:p>
    <w:p w14:paraId="2844E58B" w14:textId="77777777" w:rsidR="00B91461" w:rsidRPr="00CC7E6C" w:rsidRDefault="00B91461" w:rsidP="00CA2880">
      <w:pPr>
        <w:pStyle w:val="BodyText"/>
        <w:spacing w:after="0" w:line="240" w:lineRule="auto"/>
        <w:rPr>
          <w:rFonts w:cs="Arial"/>
          <w:i/>
          <w:iCs/>
          <w:sz w:val="22"/>
          <w:szCs w:val="22"/>
        </w:rPr>
      </w:pPr>
    </w:p>
    <w:p w14:paraId="7626D7D7" w14:textId="77777777" w:rsidR="00B91461" w:rsidRPr="00CC7E6C" w:rsidRDefault="00B91461" w:rsidP="00CA2880">
      <w:pPr>
        <w:pStyle w:val="BodyText"/>
        <w:spacing w:after="0" w:line="240" w:lineRule="auto"/>
        <w:rPr>
          <w:rFonts w:cs="Arial"/>
          <w:b/>
          <w:iCs/>
          <w:sz w:val="22"/>
          <w:szCs w:val="22"/>
        </w:rPr>
      </w:pPr>
      <w:r w:rsidRPr="00CC7E6C">
        <w:rPr>
          <w:rFonts w:cs="Arial"/>
          <w:b/>
          <w:iCs/>
          <w:sz w:val="22"/>
          <w:szCs w:val="22"/>
        </w:rPr>
        <w:t xml:space="preserve">Principle 5: Responsible Ownership </w:t>
      </w:r>
    </w:p>
    <w:p w14:paraId="4B3344D9" w14:textId="77777777" w:rsidR="003A54D0" w:rsidRPr="00CC7E6C" w:rsidRDefault="003A54D0" w:rsidP="00CA2880">
      <w:pPr>
        <w:pStyle w:val="BodyText"/>
        <w:spacing w:after="0" w:line="240" w:lineRule="auto"/>
        <w:rPr>
          <w:rFonts w:cs="Arial"/>
          <w:i/>
          <w:iCs/>
          <w:sz w:val="22"/>
          <w:szCs w:val="22"/>
        </w:rPr>
      </w:pPr>
    </w:p>
    <w:p w14:paraId="08E5087C" w14:textId="77777777" w:rsidR="00B91461" w:rsidRPr="00CC7E6C" w:rsidRDefault="0045780E" w:rsidP="00CA2880">
      <w:pPr>
        <w:pStyle w:val="BodyText"/>
        <w:spacing w:after="0" w:line="240" w:lineRule="auto"/>
        <w:rPr>
          <w:rFonts w:cs="Arial"/>
          <w:i/>
          <w:iCs/>
          <w:sz w:val="22"/>
          <w:szCs w:val="22"/>
        </w:rPr>
      </w:pPr>
      <w:r w:rsidRPr="00CC7E6C">
        <w:rPr>
          <w:rFonts w:cs="Arial"/>
          <w:i/>
          <w:iCs/>
          <w:sz w:val="22"/>
          <w:szCs w:val="22"/>
        </w:rPr>
        <w:t>“</w:t>
      </w:r>
      <w:r w:rsidR="00B91461" w:rsidRPr="00CC7E6C">
        <w:rPr>
          <w:rFonts w:cs="Arial"/>
          <w:i/>
          <w:iCs/>
          <w:sz w:val="22"/>
          <w:szCs w:val="22"/>
        </w:rPr>
        <w:t>Trustees should adopt, or ensure their investment managers adopt, the Institutional Shareholders’ Committee (ISC) Statement of Principles on the responsibilities of shareholders and agents. A statement of the scheme’s policy on responsible ownership should be included in the Statement of Investment Principles. Trustees should report periodically to members on the discharge of such responsibilities.</w:t>
      </w:r>
      <w:r w:rsidRPr="00CC7E6C">
        <w:rPr>
          <w:rFonts w:cs="Arial"/>
          <w:i/>
          <w:iCs/>
          <w:sz w:val="22"/>
          <w:szCs w:val="22"/>
        </w:rPr>
        <w:t>”</w:t>
      </w:r>
    </w:p>
    <w:p w14:paraId="558333BE" w14:textId="77777777" w:rsidR="00C45D38" w:rsidRPr="00CC7E6C" w:rsidRDefault="00C45D38" w:rsidP="00CA2880">
      <w:pPr>
        <w:pStyle w:val="BodyText"/>
        <w:spacing w:after="0" w:line="240" w:lineRule="auto"/>
        <w:rPr>
          <w:rFonts w:cs="Arial"/>
          <w:i/>
          <w:iCs/>
          <w:sz w:val="22"/>
          <w:szCs w:val="22"/>
        </w:rPr>
      </w:pPr>
    </w:p>
    <w:p w14:paraId="2564F0CB" w14:textId="77777777" w:rsidR="002931BB" w:rsidRDefault="002931BB" w:rsidP="00FF45A9">
      <w:pPr>
        <w:pStyle w:val="BodyText"/>
        <w:numPr>
          <w:ilvl w:val="0"/>
          <w:numId w:val="22"/>
        </w:numPr>
        <w:spacing w:after="0" w:line="240" w:lineRule="auto"/>
        <w:rPr>
          <w:rFonts w:cs="Arial"/>
          <w:iCs/>
          <w:sz w:val="22"/>
          <w:szCs w:val="22"/>
        </w:rPr>
      </w:pPr>
      <w:r w:rsidRPr="00CC7E6C">
        <w:rPr>
          <w:rFonts w:cs="Arial"/>
          <w:iCs/>
          <w:sz w:val="22"/>
          <w:szCs w:val="22"/>
        </w:rPr>
        <w:t>The Trustees’ policy on responsible own</w:t>
      </w:r>
      <w:r w:rsidR="00334C6D">
        <w:rPr>
          <w:rFonts w:cs="Arial"/>
          <w:iCs/>
          <w:sz w:val="22"/>
          <w:szCs w:val="22"/>
        </w:rPr>
        <w:t>ership is described in Section 3</w:t>
      </w:r>
      <w:r w:rsidRPr="00CC7E6C">
        <w:rPr>
          <w:rFonts w:cs="Arial"/>
          <w:iCs/>
          <w:sz w:val="22"/>
          <w:szCs w:val="22"/>
        </w:rPr>
        <w:t xml:space="preserve"> of this Statement of Investment Principles.</w:t>
      </w:r>
      <w:r w:rsidR="00CC7E6C">
        <w:rPr>
          <w:rFonts w:cs="Arial"/>
          <w:iCs/>
          <w:sz w:val="22"/>
          <w:szCs w:val="22"/>
        </w:rPr>
        <w:t xml:space="preserve">  </w:t>
      </w:r>
    </w:p>
    <w:p w14:paraId="2C765D63" w14:textId="77777777" w:rsidR="007D75D1" w:rsidRDefault="007D75D1" w:rsidP="00CA2880">
      <w:pPr>
        <w:spacing w:line="240" w:lineRule="auto"/>
        <w:rPr>
          <w:rFonts w:eastAsia="MS Mincho" w:cs="Arial"/>
          <w:b/>
          <w:bCs/>
          <w:sz w:val="22"/>
          <w:szCs w:val="22"/>
          <w:lang w:val="en-US" w:eastAsia="en-US"/>
        </w:rPr>
      </w:pPr>
    </w:p>
    <w:p w14:paraId="53E956EF" w14:textId="77777777" w:rsidR="00B91461" w:rsidRPr="00CC7E6C" w:rsidRDefault="00B91461" w:rsidP="00CA2880">
      <w:pPr>
        <w:spacing w:line="240" w:lineRule="auto"/>
        <w:rPr>
          <w:rFonts w:eastAsia="MS Mincho" w:cs="Arial"/>
          <w:b/>
          <w:bCs/>
          <w:sz w:val="22"/>
          <w:szCs w:val="22"/>
          <w:lang w:val="en-US" w:eastAsia="en-US"/>
        </w:rPr>
      </w:pPr>
      <w:r w:rsidRPr="00CC7E6C">
        <w:rPr>
          <w:rFonts w:eastAsia="MS Mincho" w:cs="Arial"/>
          <w:b/>
          <w:bCs/>
          <w:sz w:val="22"/>
          <w:szCs w:val="22"/>
          <w:lang w:val="en-US" w:eastAsia="en-US"/>
        </w:rPr>
        <w:t>Principle 6: Transparency and Reporting</w:t>
      </w:r>
    </w:p>
    <w:p w14:paraId="39B902F7" w14:textId="77777777" w:rsidR="000C0CF2" w:rsidRPr="00CC7E6C" w:rsidRDefault="000C0CF2" w:rsidP="00CA2880">
      <w:pPr>
        <w:spacing w:line="240" w:lineRule="auto"/>
        <w:rPr>
          <w:rFonts w:eastAsia="MS Mincho" w:cs="Arial"/>
          <w:sz w:val="22"/>
          <w:szCs w:val="22"/>
          <w:lang w:val="en-US" w:eastAsia="en-US"/>
        </w:rPr>
      </w:pPr>
    </w:p>
    <w:p w14:paraId="09B3860A" w14:textId="77777777" w:rsidR="00B91461" w:rsidRPr="00CC7E6C" w:rsidRDefault="000C0CF2" w:rsidP="00CA2880">
      <w:pPr>
        <w:spacing w:line="240" w:lineRule="auto"/>
        <w:rPr>
          <w:rFonts w:eastAsia="MS Mincho" w:cs="Arial"/>
          <w:i/>
          <w:sz w:val="22"/>
          <w:szCs w:val="22"/>
          <w:lang w:val="en-US" w:eastAsia="en-US"/>
        </w:rPr>
      </w:pPr>
      <w:r w:rsidRPr="00CC7E6C">
        <w:rPr>
          <w:rFonts w:eastAsia="MS Mincho" w:cs="Arial"/>
          <w:i/>
          <w:sz w:val="22"/>
          <w:szCs w:val="22"/>
          <w:lang w:val="en-US" w:eastAsia="en-US"/>
        </w:rPr>
        <w:t>“</w:t>
      </w:r>
      <w:r w:rsidR="00B91461" w:rsidRPr="00CC7E6C">
        <w:rPr>
          <w:rFonts w:eastAsia="MS Mincho" w:cs="Arial"/>
          <w:i/>
          <w:sz w:val="22"/>
          <w:szCs w:val="22"/>
          <w:lang w:val="en-US" w:eastAsia="en-US"/>
        </w:rPr>
        <w:t>Trustees should act in a transparent manner, communicating with stakeholders on issues relating to their management of investment, its governance and risks, including performance against stated objectives.</w:t>
      </w:r>
    </w:p>
    <w:p w14:paraId="4729EBF9" w14:textId="77777777" w:rsidR="000C0CF2" w:rsidRPr="00CC7E6C" w:rsidRDefault="000C0CF2" w:rsidP="00CA2880">
      <w:pPr>
        <w:spacing w:line="240" w:lineRule="auto"/>
        <w:rPr>
          <w:rFonts w:eastAsia="MS Mincho" w:cs="Arial"/>
          <w:i/>
          <w:sz w:val="22"/>
          <w:szCs w:val="22"/>
          <w:lang w:val="en-US" w:eastAsia="en-US"/>
        </w:rPr>
      </w:pPr>
    </w:p>
    <w:p w14:paraId="2E4E8E18" w14:textId="77777777" w:rsidR="00B91461" w:rsidRPr="00CC7E6C" w:rsidRDefault="00B91461" w:rsidP="00CA2880">
      <w:pPr>
        <w:spacing w:line="240" w:lineRule="auto"/>
        <w:rPr>
          <w:rFonts w:eastAsia="MS Mincho" w:cs="Arial"/>
          <w:i/>
          <w:sz w:val="22"/>
          <w:szCs w:val="22"/>
          <w:lang w:val="en-US" w:eastAsia="en-US"/>
        </w:rPr>
      </w:pPr>
      <w:r w:rsidRPr="00CC7E6C">
        <w:rPr>
          <w:rFonts w:eastAsia="MS Mincho" w:cs="Arial"/>
          <w:i/>
          <w:sz w:val="22"/>
          <w:szCs w:val="22"/>
          <w:lang w:val="en-US" w:eastAsia="en-US"/>
        </w:rPr>
        <w:t>Trustees should provide regular communication to members in the form they consider most appropriate.</w:t>
      </w:r>
      <w:r w:rsidR="000C0CF2" w:rsidRPr="00CC7E6C">
        <w:rPr>
          <w:rFonts w:eastAsia="MS Mincho" w:cs="Arial"/>
          <w:i/>
          <w:sz w:val="22"/>
          <w:szCs w:val="22"/>
          <w:lang w:val="en-US" w:eastAsia="en-US"/>
        </w:rPr>
        <w:t>”</w:t>
      </w:r>
    </w:p>
    <w:p w14:paraId="16ADF202" w14:textId="77777777" w:rsidR="002931BB" w:rsidRPr="00CC7E6C" w:rsidRDefault="002931BB" w:rsidP="00CA2880">
      <w:pPr>
        <w:spacing w:line="240" w:lineRule="auto"/>
        <w:rPr>
          <w:rFonts w:eastAsia="MS Mincho" w:cs="Arial"/>
          <w:i/>
          <w:sz w:val="22"/>
          <w:szCs w:val="22"/>
          <w:lang w:val="en-US" w:eastAsia="en-US"/>
        </w:rPr>
      </w:pPr>
    </w:p>
    <w:p w14:paraId="2A29EE8D" w14:textId="31077BDF" w:rsidR="002931BB" w:rsidRPr="00CC7E6C" w:rsidRDefault="008F3A9B" w:rsidP="00FF45A9">
      <w:pPr>
        <w:numPr>
          <w:ilvl w:val="0"/>
          <w:numId w:val="24"/>
        </w:numPr>
        <w:spacing w:line="240" w:lineRule="auto"/>
        <w:rPr>
          <w:rFonts w:eastAsia="MS Mincho" w:cs="Arial"/>
          <w:sz w:val="22"/>
          <w:szCs w:val="22"/>
          <w:lang w:val="en-US" w:eastAsia="en-US"/>
        </w:rPr>
      </w:pPr>
      <w:r w:rsidRPr="00CC7E6C">
        <w:rPr>
          <w:rFonts w:eastAsia="MS Mincho" w:cs="Arial"/>
          <w:sz w:val="22"/>
          <w:szCs w:val="22"/>
          <w:lang w:val="en-US" w:eastAsia="en-US"/>
        </w:rPr>
        <w:t xml:space="preserve">Members are provided with </w:t>
      </w:r>
      <w:r w:rsidR="005801F4" w:rsidRPr="00CC7E6C">
        <w:rPr>
          <w:rFonts w:eastAsia="MS Mincho" w:cs="Arial"/>
          <w:sz w:val="22"/>
          <w:szCs w:val="22"/>
          <w:lang w:val="en-US" w:eastAsia="en-US"/>
        </w:rPr>
        <w:t xml:space="preserve">information on </w:t>
      </w:r>
      <w:r w:rsidR="008F21EE">
        <w:rPr>
          <w:rFonts w:eastAsia="MS Mincho" w:cs="Arial"/>
          <w:sz w:val="22"/>
          <w:szCs w:val="22"/>
          <w:lang w:val="en-US" w:eastAsia="en-US"/>
        </w:rPr>
        <w:t>the Scheme’s funding position</w:t>
      </w:r>
      <w:r w:rsidR="005801F4" w:rsidRPr="00CC7E6C">
        <w:rPr>
          <w:rFonts w:eastAsia="MS Mincho" w:cs="Arial"/>
          <w:sz w:val="22"/>
          <w:szCs w:val="22"/>
          <w:lang w:val="en-US" w:eastAsia="en-US"/>
        </w:rPr>
        <w:t xml:space="preserve"> in the annual report to members. </w:t>
      </w:r>
    </w:p>
    <w:p w14:paraId="25B15710" w14:textId="77777777" w:rsidR="002931BB" w:rsidRPr="00CC7E6C" w:rsidRDefault="002931BB" w:rsidP="00CA2880">
      <w:pPr>
        <w:spacing w:line="240" w:lineRule="auto"/>
        <w:rPr>
          <w:rFonts w:eastAsia="MS Mincho" w:cs="Arial"/>
          <w:i/>
          <w:color w:val="FF0000"/>
          <w:sz w:val="22"/>
          <w:szCs w:val="22"/>
          <w:lang w:val="en-US" w:eastAsia="en-US"/>
        </w:rPr>
      </w:pPr>
    </w:p>
    <w:p w14:paraId="1F65D15D" w14:textId="77777777" w:rsidR="005801F4" w:rsidRPr="00C07431" w:rsidRDefault="002931BB" w:rsidP="00FF45A9">
      <w:pPr>
        <w:numPr>
          <w:ilvl w:val="0"/>
          <w:numId w:val="23"/>
        </w:numPr>
        <w:spacing w:line="240" w:lineRule="auto"/>
        <w:rPr>
          <w:rFonts w:eastAsia="MS Mincho" w:cs="Arial"/>
          <w:i/>
          <w:color w:val="FF0000"/>
          <w:sz w:val="22"/>
          <w:szCs w:val="22"/>
          <w:lang w:val="en-US" w:eastAsia="en-US"/>
        </w:rPr>
      </w:pPr>
      <w:r w:rsidRPr="00C07431">
        <w:rPr>
          <w:rFonts w:eastAsia="MS Mincho" w:cs="Arial"/>
          <w:sz w:val="22"/>
          <w:szCs w:val="22"/>
          <w:lang w:val="en-US" w:eastAsia="en-US"/>
        </w:rPr>
        <w:t xml:space="preserve">A copy of this Statement of Investment Principles </w:t>
      </w:r>
      <w:r w:rsidR="007D75D1" w:rsidRPr="00C07431">
        <w:rPr>
          <w:rFonts w:eastAsia="MS Mincho" w:cs="Arial"/>
          <w:sz w:val="22"/>
          <w:szCs w:val="22"/>
          <w:lang w:val="en-US" w:eastAsia="en-US"/>
        </w:rPr>
        <w:t>and o</w:t>
      </w:r>
      <w:r w:rsidR="008F3A9B" w:rsidRPr="00C07431">
        <w:rPr>
          <w:rFonts w:eastAsia="MS Mincho" w:cs="Arial"/>
          <w:sz w:val="22"/>
          <w:szCs w:val="22"/>
          <w:lang w:val="en-US" w:eastAsia="en-US"/>
        </w:rPr>
        <w:t>ther documents such as actuarial valuation reports, the schedule of contributions and the</w:t>
      </w:r>
      <w:r w:rsidR="000471AB" w:rsidRPr="00C07431">
        <w:rPr>
          <w:rFonts w:eastAsia="MS Mincho" w:cs="Arial"/>
          <w:sz w:val="22"/>
          <w:szCs w:val="22"/>
          <w:lang w:val="en-US" w:eastAsia="en-US"/>
        </w:rPr>
        <w:t xml:space="preserve"> annual report and accounts are</w:t>
      </w:r>
      <w:r w:rsidR="008F3A9B" w:rsidRPr="00C07431">
        <w:rPr>
          <w:rFonts w:eastAsia="MS Mincho" w:cs="Arial"/>
          <w:sz w:val="22"/>
          <w:szCs w:val="22"/>
          <w:lang w:val="en-US" w:eastAsia="en-US"/>
        </w:rPr>
        <w:t xml:space="preserve"> available to members on request.</w:t>
      </w:r>
    </w:p>
    <w:p w14:paraId="201D9A61" w14:textId="77777777" w:rsidR="004D3753" w:rsidRPr="007777DD" w:rsidRDefault="004D3753" w:rsidP="004D3753">
      <w:pPr>
        <w:pStyle w:val="Heading1"/>
        <w:spacing w:before="0" w:after="0" w:line="240" w:lineRule="auto"/>
      </w:pPr>
      <w:bookmarkStart w:id="4" w:name="_Toc192580103"/>
    </w:p>
    <w:bookmarkEnd w:id="4"/>
    <w:p w14:paraId="2AB83A8E" w14:textId="77777777" w:rsidR="00F751D7" w:rsidRPr="009B5040" w:rsidRDefault="00F751D7" w:rsidP="00CA2880">
      <w:pPr>
        <w:spacing w:line="240" w:lineRule="auto"/>
        <w:ind w:left="360"/>
        <w:contextualSpacing/>
        <w:rPr>
          <w:rFonts w:cs="Arial"/>
          <w:sz w:val="22"/>
          <w:szCs w:val="22"/>
        </w:rPr>
      </w:pPr>
    </w:p>
    <w:p w14:paraId="78AB1FB7" w14:textId="77777777" w:rsidR="00F751D7" w:rsidRPr="009B5040" w:rsidRDefault="00F751D7" w:rsidP="00CA2880">
      <w:pPr>
        <w:pStyle w:val="BodyText"/>
        <w:spacing w:after="0" w:line="240" w:lineRule="auto"/>
        <w:contextualSpacing/>
        <w:rPr>
          <w:rFonts w:cs="Arial"/>
          <w:sz w:val="22"/>
          <w:szCs w:val="22"/>
        </w:rPr>
      </w:pPr>
    </w:p>
    <w:p w14:paraId="57ECB048" w14:textId="77777777" w:rsidR="009C14E4" w:rsidRPr="009B5040" w:rsidRDefault="00334C6D" w:rsidP="00334C6D">
      <w:pPr>
        <w:pStyle w:val="Heading1"/>
        <w:spacing w:before="0" w:after="0" w:line="240" w:lineRule="auto"/>
        <w:contextualSpacing/>
        <w:jc w:val="both"/>
        <w:rPr>
          <w:sz w:val="22"/>
          <w:szCs w:val="22"/>
        </w:rPr>
      </w:pPr>
      <w:r w:rsidRPr="009B5040">
        <w:rPr>
          <w:sz w:val="22"/>
          <w:szCs w:val="22"/>
        </w:rPr>
        <w:t xml:space="preserve"> </w:t>
      </w:r>
    </w:p>
    <w:sectPr w:rsidR="009C14E4" w:rsidRPr="009B5040" w:rsidSect="004B4F37">
      <w:footerReference w:type="default" r:id="rId11"/>
      <w:headerReference w:type="first" r:id="rId12"/>
      <w:pgSz w:w="11906" w:h="16838" w:code="9"/>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2CD5A" w14:textId="77777777" w:rsidR="004B4F37" w:rsidRDefault="004B4F37">
      <w:r>
        <w:separator/>
      </w:r>
    </w:p>
  </w:endnote>
  <w:endnote w:type="continuationSeparator" w:id="0">
    <w:p w14:paraId="31D1F51B" w14:textId="77777777" w:rsidR="004B4F37" w:rsidRDefault="004B4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notTrueType/>
    <w:pitch w:val="default"/>
    <w:sig w:usb0="00000003" w:usb1="00000000" w:usb2="00000000" w:usb3="00000000" w:csb0="00000001" w:csb1="00000000"/>
  </w:font>
  <w:font w:name="Frutiger LT 45 Light">
    <w:altName w:val="Lucida Sans Unicode"/>
    <w:charset w:val="00"/>
    <w:family w:val="swiss"/>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4062E" w14:textId="7DB2673C" w:rsidR="00FA152E" w:rsidRDefault="00FA152E">
    <w:pPr>
      <w:pStyle w:val="Footer"/>
    </w:pPr>
    <w:r>
      <w:fldChar w:fldCharType="begin"/>
    </w:r>
    <w:r>
      <w:instrText xml:space="preserve"> STYLEREF  Title  \* MERGEFORMAT </w:instrText>
    </w:r>
    <w:r>
      <w:fldChar w:fldCharType="end"/>
    </w:r>
    <w:r>
      <w:tab/>
    </w:r>
    <w:r>
      <w:rPr>
        <w:rStyle w:val="PageNumber"/>
      </w:rPr>
      <w:fldChar w:fldCharType="begin"/>
    </w:r>
    <w:r>
      <w:rPr>
        <w:rStyle w:val="PageNumber"/>
      </w:rPr>
      <w:instrText xml:space="preserve"> PAGE </w:instrText>
    </w:r>
    <w:r>
      <w:rPr>
        <w:rStyle w:val="PageNumber"/>
      </w:rPr>
      <w:fldChar w:fldCharType="separate"/>
    </w:r>
    <w:r>
      <w:rPr>
        <w:rStyle w:val="PageNumber"/>
      </w:rPr>
      <w:t>11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9D8AD" w14:textId="77777777" w:rsidR="004B4F37" w:rsidRDefault="004B4F37">
      <w:r>
        <w:separator/>
      </w:r>
    </w:p>
  </w:footnote>
  <w:footnote w:type="continuationSeparator" w:id="0">
    <w:p w14:paraId="2279924F" w14:textId="77777777" w:rsidR="004B4F37" w:rsidRDefault="004B4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9ADCD" w14:textId="77777777" w:rsidR="00FA152E" w:rsidRDefault="00FA152E">
    <w:pPr>
      <w:pStyle w:val="HiddenText"/>
    </w:pPr>
  </w:p>
  <w:p w14:paraId="275D84B7" w14:textId="77777777" w:rsidR="00FA152E" w:rsidRDefault="00FA1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0581CF8"/>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94949746"/>
    <w:lvl w:ilvl="0">
      <w:start w:val="1"/>
      <w:numFmt w:val="decimal"/>
      <w:pStyle w:val="ListNumber"/>
      <w:lvlText w:val="%1."/>
      <w:lvlJc w:val="left"/>
      <w:pPr>
        <w:tabs>
          <w:tab w:val="num" w:pos="340"/>
        </w:tabs>
        <w:ind w:left="340" w:hanging="340"/>
      </w:pPr>
      <w:rPr>
        <w:rFonts w:hint="default"/>
      </w:rPr>
    </w:lvl>
  </w:abstractNum>
  <w:abstractNum w:abstractNumId="2" w15:restartNumberingAfterBreak="0">
    <w:nsid w:val="001E27F4"/>
    <w:multiLevelType w:val="hybridMultilevel"/>
    <w:tmpl w:val="49CEDAC4"/>
    <w:lvl w:ilvl="0" w:tplc="4E04740E">
      <w:start w:val="1"/>
      <w:numFmt w:val="decimal"/>
      <w:pStyle w:val="71number"/>
      <w:lvlText w:val="7.%1"/>
      <w:lvlJc w:val="left"/>
      <w:pPr>
        <w:tabs>
          <w:tab w:val="num" w:pos="454"/>
        </w:tabs>
        <w:ind w:left="454" w:hanging="454"/>
      </w:pPr>
      <w:rPr>
        <w:rFonts w:ascii="Arial" w:hAnsi="Arial" w:hint="default"/>
        <w:b w:val="0"/>
        <w:i w:val="0"/>
        <w:caps w:val="0"/>
        <w:strike w:val="0"/>
        <w:dstrike w:val="0"/>
        <w:vanish w:val="0"/>
        <w:color w:val="000000"/>
        <w:sz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AC27C5"/>
    <w:multiLevelType w:val="hybridMultilevel"/>
    <w:tmpl w:val="A0881088"/>
    <w:lvl w:ilvl="0" w:tplc="0E4CD1D6">
      <w:start w:val="1"/>
      <w:numFmt w:val="bullet"/>
      <w:pStyle w:val="-bullet"/>
      <w:lvlText w:val=""/>
      <w:lvlJc w:val="left"/>
      <w:pPr>
        <w:tabs>
          <w:tab w:val="num" w:pos="814"/>
        </w:tabs>
        <w:ind w:left="814" w:hanging="360"/>
      </w:pPr>
      <w:rPr>
        <w:rFonts w:ascii="Symbol" w:hAnsi="Symbol" w:hint="default"/>
      </w:rPr>
    </w:lvl>
    <w:lvl w:ilvl="1" w:tplc="04090003" w:tentative="1">
      <w:start w:val="1"/>
      <w:numFmt w:val="bullet"/>
      <w:lvlText w:val="o"/>
      <w:lvlJc w:val="left"/>
      <w:pPr>
        <w:tabs>
          <w:tab w:val="num" w:pos="1174"/>
        </w:tabs>
        <w:ind w:left="1174" w:hanging="360"/>
      </w:pPr>
      <w:rPr>
        <w:rFonts w:ascii="Courier New" w:hAnsi="Courier New" w:hint="default"/>
      </w:rPr>
    </w:lvl>
    <w:lvl w:ilvl="2" w:tplc="04090005" w:tentative="1">
      <w:start w:val="1"/>
      <w:numFmt w:val="bullet"/>
      <w:lvlText w:val=""/>
      <w:lvlJc w:val="left"/>
      <w:pPr>
        <w:tabs>
          <w:tab w:val="num" w:pos="1894"/>
        </w:tabs>
        <w:ind w:left="1894" w:hanging="360"/>
      </w:pPr>
      <w:rPr>
        <w:rFonts w:ascii="Wingdings" w:hAnsi="Wingdings" w:hint="default"/>
      </w:rPr>
    </w:lvl>
    <w:lvl w:ilvl="3" w:tplc="04090001" w:tentative="1">
      <w:start w:val="1"/>
      <w:numFmt w:val="bullet"/>
      <w:lvlText w:val=""/>
      <w:lvlJc w:val="left"/>
      <w:pPr>
        <w:tabs>
          <w:tab w:val="num" w:pos="2614"/>
        </w:tabs>
        <w:ind w:left="2614" w:hanging="360"/>
      </w:pPr>
      <w:rPr>
        <w:rFonts w:ascii="Symbol" w:hAnsi="Symbol" w:hint="default"/>
      </w:rPr>
    </w:lvl>
    <w:lvl w:ilvl="4" w:tplc="04090003" w:tentative="1">
      <w:start w:val="1"/>
      <w:numFmt w:val="bullet"/>
      <w:lvlText w:val="o"/>
      <w:lvlJc w:val="left"/>
      <w:pPr>
        <w:tabs>
          <w:tab w:val="num" w:pos="3334"/>
        </w:tabs>
        <w:ind w:left="3334" w:hanging="360"/>
      </w:pPr>
      <w:rPr>
        <w:rFonts w:ascii="Courier New" w:hAnsi="Courier New" w:hint="default"/>
      </w:rPr>
    </w:lvl>
    <w:lvl w:ilvl="5" w:tplc="04090005" w:tentative="1">
      <w:start w:val="1"/>
      <w:numFmt w:val="bullet"/>
      <w:lvlText w:val=""/>
      <w:lvlJc w:val="left"/>
      <w:pPr>
        <w:tabs>
          <w:tab w:val="num" w:pos="4054"/>
        </w:tabs>
        <w:ind w:left="4054" w:hanging="360"/>
      </w:pPr>
      <w:rPr>
        <w:rFonts w:ascii="Wingdings" w:hAnsi="Wingdings" w:hint="default"/>
      </w:rPr>
    </w:lvl>
    <w:lvl w:ilvl="6" w:tplc="04090001" w:tentative="1">
      <w:start w:val="1"/>
      <w:numFmt w:val="bullet"/>
      <w:lvlText w:val=""/>
      <w:lvlJc w:val="left"/>
      <w:pPr>
        <w:tabs>
          <w:tab w:val="num" w:pos="4774"/>
        </w:tabs>
        <w:ind w:left="4774" w:hanging="360"/>
      </w:pPr>
      <w:rPr>
        <w:rFonts w:ascii="Symbol" w:hAnsi="Symbol" w:hint="default"/>
      </w:rPr>
    </w:lvl>
    <w:lvl w:ilvl="7" w:tplc="04090003" w:tentative="1">
      <w:start w:val="1"/>
      <w:numFmt w:val="bullet"/>
      <w:lvlText w:val="o"/>
      <w:lvlJc w:val="left"/>
      <w:pPr>
        <w:tabs>
          <w:tab w:val="num" w:pos="5494"/>
        </w:tabs>
        <w:ind w:left="5494" w:hanging="360"/>
      </w:pPr>
      <w:rPr>
        <w:rFonts w:ascii="Courier New" w:hAnsi="Courier New" w:hint="default"/>
      </w:rPr>
    </w:lvl>
    <w:lvl w:ilvl="8" w:tplc="04090005" w:tentative="1">
      <w:start w:val="1"/>
      <w:numFmt w:val="bullet"/>
      <w:lvlText w:val=""/>
      <w:lvlJc w:val="left"/>
      <w:pPr>
        <w:tabs>
          <w:tab w:val="num" w:pos="6214"/>
        </w:tabs>
        <w:ind w:left="6214" w:hanging="360"/>
      </w:pPr>
      <w:rPr>
        <w:rFonts w:ascii="Wingdings" w:hAnsi="Wingdings" w:hint="default"/>
      </w:rPr>
    </w:lvl>
  </w:abstractNum>
  <w:abstractNum w:abstractNumId="4" w15:restartNumberingAfterBreak="0">
    <w:nsid w:val="06DA12D3"/>
    <w:multiLevelType w:val="hybridMultilevel"/>
    <w:tmpl w:val="3A7CF4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7B455D"/>
    <w:multiLevelType w:val="hybridMultilevel"/>
    <w:tmpl w:val="8FCAA996"/>
    <w:lvl w:ilvl="0" w:tplc="B0FC47EA">
      <w:start w:val="1"/>
      <w:numFmt w:val="decimal"/>
      <w:pStyle w:val="22number"/>
      <w:lvlText w:val="2.%1"/>
      <w:lvlJc w:val="left"/>
      <w:pPr>
        <w:tabs>
          <w:tab w:val="num" w:pos="454"/>
        </w:tabs>
        <w:ind w:left="454" w:hanging="454"/>
      </w:pPr>
      <w:rPr>
        <w:rFonts w:ascii="Arial" w:hAnsi="Arial" w:hint="default"/>
        <w:b w:val="0"/>
        <w:i w:val="0"/>
        <w:caps w:val="0"/>
        <w:strike w:val="0"/>
        <w:dstrike w:val="0"/>
        <w:vanish w:val="0"/>
        <w:color w:val="000000"/>
        <w:sz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E80FDC"/>
    <w:multiLevelType w:val="hybridMultilevel"/>
    <w:tmpl w:val="62C20408"/>
    <w:lvl w:ilvl="0" w:tplc="1DBAADA0">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764EBD"/>
    <w:multiLevelType w:val="hybridMultilevel"/>
    <w:tmpl w:val="FC82CE66"/>
    <w:lvl w:ilvl="0" w:tplc="087CE344">
      <w:start w:val="3"/>
      <w:numFmt w:val="decimal"/>
      <w:pStyle w:val="53"/>
      <w:lvlText w:val="5.%1"/>
      <w:lvlJc w:val="left"/>
      <w:pPr>
        <w:tabs>
          <w:tab w:val="num" w:pos="454"/>
        </w:tabs>
        <w:ind w:left="454" w:hanging="454"/>
      </w:pPr>
      <w:rPr>
        <w:rFonts w:ascii="Arial" w:hAnsi="Arial" w:hint="default"/>
        <w:b w:val="0"/>
        <w:i w:val="0"/>
        <w:color w:val="auto"/>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7561F8"/>
    <w:multiLevelType w:val="hybridMultilevel"/>
    <w:tmpl w:val="5BE6E11C"/>
    <w:lvl w:ilvl="0" w:tplc="6A1C1604">
      <w:start w:val="1"/>
      <w:numFmt w:val="decimal"/>
      <w:pStyle w:val="61number"/>
      <w:lvlText w:val="6.%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D6D2516"/>
    <w:multiLevelType w:val="hybridMultilevel"/>
    <w:tmpl w:val="E5A2F5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606AA9"/>
    <w:multiLevelType w:val="hybridMultilevel"/>
    <w:tmpl w:val="34725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4581FFD"/>
    <w:multiLevelType w:val="hybridMultilevel"/>
    <w:tmpl w:val="AB3CC3E4"/>
    <w:lvl w:ilvl="0" w:tplc="84121E08">
      <w:start w:val="1"/>
      <w:numFmt w:val="decimal"/>
      <w:pStyle w:val="81number"/>
      <w:lvlText w:val="8.%1"/>
      <w:lvlJc w:val="left"/>
      <w:pPr>
        <w:tabs>
          <w:tab w:val="num" w:pos="454"/>
        </w:tabs>
        <w:ind w:left="454" w:hanging="454"/>
      </w:pPr>
      <w:rPr>
        <w:rFonts w:ascii="Arial" w:hAnsi="Arial" w:hint="default"/>
        <w:b w:val="0"/>
        <w:i w:val="0"/>
        <w:caps w:val="0"/>
        <w:strike w:val="0"/>
        <w:dstrike w:val="0"/>
        <w:vanish w:val="0"/>
        <w:color w:val="000000"/>
        <w:sz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7803E9F"/>
    <w:multiLevelType w:val="hybridMultilevel"/>
    <w:tmpl w:val="B0A088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A4B6B8E"/>
    <w:multiLevelType w:val="hybridMultilevel"/>
    <w:tmpl w:val="F16095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B4E07E5"/>
    <w:multiLevelType w:val="hybridMultilevel"/>
    <w:tmpl w:val="FAE25864"/>
    <w:lvl w:ilvl="0" w:tplc="169E1E10">
      <w:start w:val="1"/>
      <w:numFmt w:val="decimal"/>
      <w:pStyle w:val="31number"/>
      <w:lvlText w:val="3.%1"/>
      <w:lvlJc w:val="left"/>
      <w:pPr>
        <w:tabs>
          <w:tab w:val="num" w:pos="454"/>
        </w:tabs>
        <w:ind w:left="454" w:hanging="454"/>
      </w:pPr>
      <w:rPr>
        <w:rFonts w:ascii="Arial" w:hAnsi="Arial" w:hint="default"/>
        <w:b w:val="0"/>
        <w:i w:val="0"/>
        <w:caps w:val="0"/>
        <w:strike w:val="0"/>
        <w:dstrike w:val="0"/>
        <w:vanish w:val="0"/>
        <w:color w:val="000000"/>
        <w:sz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F5D2FC2"/>
    <w:multiLevelType w:val="hybridMultilevel"/>
    <w:tmpl w:val="D7BCE3C4"/>
    <w:lvl w:ilvl="0" w:tplc="DFF2040C">
      <w:start w:val="1"/>
      <w:numFmt w:val="decimal"/>
      <w:pStyle w:val="51"/>
      <w:lvlText w:val="5.%1"/>
      <w:lvlJc w:val="left"/>
      <w:pPr>
        <w:tabs>
          <w:tab w:val="num" w:pos="454"/>
        </w:tabs>
        <w:ind w:left="454" w:hanging="454"/>
      </w:pPr>
      <w:rPr>
        <w:rFonts w:ascii="Arial" w:hAnsi="Arial" w:hint="default"/>
        <w:b w:val="0"/>
        <w:i w:val="0"/>
        <w:color w:val="auto"/>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0F3188C"/>
    <w:multiLevelType w:val="hybridMultilevel"/>
    <w:tmpl w:val="BAF4B4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1332887"/>
    <w:multiLevelType w:val="hybridMultilevel"/>
    <w:tmpl w:val="F72631D6"/>
    <w:lvl w:ilvl="0" w:tplc="2FA67082">
      <w:start w:val="1"/>
      <w:numFmt w:val="bullet"/>
      <w:pStyle w:val="ListBullet31"/>
      <w:lvlText w:val=""/>
      <w:lvlJc w:val="left"/>
      <w:pPr>
        <w:tabs>
          <w:tab w:val="num" w:pos="567"/>
        </w:tabs>
        <w:ind w:left="567" w:hanging="567"/>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885EAC"/>
    <w:multiLevelType w:val="hybridMultilevel"/>
    <w:tmpl w:val="D04EB540"/>
    <w:lvl w:ilvl="0" w:tplc="D96A3DEC">
      <w:start w:val="1"/>
      <w:numFmt w:val="decimal"/>
      <w:pStyle w:val="51number"/>
      <w:lvlText w:val="5.%1"/>
      <w:lvlJc w:val="left"/>
      <w:pPr>
        <w:tabs>
          <w:tab w:val="num" w:pos="454"/>
        </w:tabs>
        <w:ind w:left="454" w:hanging="454"/>
      </w:pPr>
      <w:rPr>
        <w:rFonts w:ascii="Arial" w:hAnsi="Arial" w:hint="default"/>
        <w:b w:val="0"/>
        <w:i w:val="0"/>
        <w:caps w:val="0"/>
        <w:strike w:val="0"/>
        <w:dstrike w:val="0"/>
        <w:vanish w:val="0"/>
        <w:color w:val="000000"/>
        <w:sz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9A0738E"/>
    <w:multiLevelType w:val="hybridMultilevel"/>
    <w:tmpl w:val="9FDEA6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04F5B2E"/>
    <w:multiLevelType w:val="hybridMultilevel"/>
    <w:tmpl w:val="6564032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0B75F49"/>
    <w:multiLevelType w:val="hybridMultilevel"/>
    <w:tmpl w:val="00C043F8"/>
    <w:lvl w:ilvl="0" w:tplc="CE1CAC52">
      <w:start w:val="1"/>
      <w:numFmt w:val="decimal"/>
      <w:pStyle w:val="41number"/>
      <w:lvlText w:val="4.%1"/>
      <w:lvlJc w:val="left"/>
      <w:pPr>
        <w:tabs>
          <w:tab w:val="num" w:pos="454"/>
        </w:tabs>
        <w:ind w:left="454" w:hanging="454"/>
      </w:pPr>
      <w:rPr>
        <w:rFonts w:ascii="Arial" w:hAnsi="Arial" w:hint="default"/>
        <w:b w:val="0"/>
        <w:i w:val="0"/>
        <w:caps w:val="0"/>
        <w:strike w:val="0"/>
        <w:dstrike w:val="0"/>
        <w:vanish w:val="0"/>
        <w:color w:val="000000"/>
        <w:sz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87C79FC"/>
    <w:multiLevelType w:val="hybridMultilevel"/>
    <w:tmpl w:val="2AEABFDE"/>
    <w:lvl w:ilvl="0" w:tplc="B6848B50">
      <w:start w:val="7"/>
      <w:numFmt w:val="decimal"/>
      <w:pStyle w:val="57"/>
      <w:lvlText w:val="5.%1"/>
      <w:lvlJc w:val="left"/>
      <w:pPr>
        <w:tabs>
          <w:tab w:val="num" w:pos="454"/>
        </w:tabs>
        <w:ind w:left="454" w:hanging="454"/>
      </w:pPr>
      <w:rPr>
        <w:rFonts w:ascii="Arial" w:hAnsi="Arial" w:hint="default"/>
        <w:b w:val="0"/>
        <w:i w:val="0"/>
        <w:color w:val="auto"/>
        <w:sz w:val="2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96C0704"/>
    <w:multiLevelType w:val="hybridMultilevel"/>
    <w:tmpl w:val="C1580318"/>
    <w:lvl w:ilvl="0" w:tplc="6220FE14">
      <w:start w:val="1"/>
      <w:numFmt w:val="decimal"/>
      <w:pStyle w:val="11number"/>
      <w:lvlText w:val="1.%1"/>
      <w:lvlJc w:val="left"/>
      <w:pPr>
        <w:tabs>
          <w:tab w:val="num" w:pos="454"/>
        </w:tabs>
        <w:ind w:left="454" w:hanging="454"/>
      </w:pPr>
      <w:rPr>
        <w:rFonts w:ascii="Arial" w:hAnsi="Arial" w:hint="default"/>
        <w:b w:val="0"/>
        <w:i w:val="0"/>
        <w:caps w:val="0"/>
        <w:strike w:val="0"/>
        <w:dstrike w:val="0"/>
        <w:vanish w:val="0"/>
        <w:color w:val="000000"/>
        <w:sz w:val="2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A4E5850"/>
    <w:multiLevelType w:val="hybridMultilevel"/>
    <w:tmpl w:val="5E0EAB84"/>
    <w:lvl w:ilvl="0" w:tplc="0792DC88">
      <w:start w:val="1"/>
      <w:numFmt w:val="bullet"/>
      <w:pStyle w:val="BulletLisa"/>
      <w:lvlText w:val=""/>
      <w:lvlJc w:val="left"/>
      <w:pPr>
        <w:tabs>
          <w:tab w:val="num" w:pos="1800"/>
        </w:tabs>
        <w:ind w:left="1077" w:firstLine="363"/>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D2D7872"/>
    <w:multiLevelType w:val="hybridMultilevel"/>
    <w:tmpl w:val="19787A20"/>
    <w:lvl w:ilvl="0" w:tplc="73C6EBCC">
      <w:start w:val="1"/>
      <w:numFmt w:val="decimal"/>
      <w:pStyle w:val="Listnumber21"/>
      <w:lvlText w:val="2.%1"/>
      <w:lvlJc w:val="left"/>
      <w:pPr>
        <w:tabs>
          <w:tab w:val="num" w:pos="454"/>
        </w:tabs>
        <w:ind w:left="454" w:hanging="454"/>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E060297"/>
    <w:multiLevelType w:val="hybridMultilevel"/>
    <w:tmpl w:val="DBF604DA"/>
    <w:lvl w:ilvl="0" w:tplc="DF426284">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822812609">
    <w:abstractNumId w:val="0"/>
  </w:num>
  <w:num w:numId="2" w16cid:durableId="1936547007">
    <w:abstractNumId w:val="1"/>
  </w:num>
  <w:num w:numId="3" w16cid:durableId="1025449652">
    <w:abstractNumId w:val="24"/>
  </w:num>
  <w:num w:numId="4" w16cid:durableId="913665250">
    <w:abstractNumId w:val="14"/>
  </w:num>
  <w:num w:numId="5" w16cid:durableId="704715140">
    <w:abstractNumId w:val="21"/>
  </w:num>
  <w:num w:numId="6" w16cid:durableId="1541475871">
    <w:abstractNumId w:val="18"/>
  </w:num>
  <w:num w:numId="7" w16cid:durableId="1117136112">
    <w:abstractNumId w:val="23"/>
  </w:num>
  <w:num w:numId="8" w16cid:durableId="532571195">
    <w:abstractNumId w:val="5"/>
  </w:num>
  <w:num w:numId="9" w16cid:durableId="1053432043">
    <w:abstractNumId w:val="2"/>
  </w:num>
  <w:num w:numId="10" w16cid:durableId="1896702033">
    <w:abstractNumId w:val="11"/>
  </w:num>
  <w:num w:numId="11" w16cid:durableId="1024938874">
    <w:abstractNumId w:val="25"/>
  </w:num>
  <w:num w:numId="12" w16cid:durableId="841971111">
    <w:abstractNumId w:val="8"/>
  </w:num>
  <w:num w:numId="13" w16cid:durableId="1122265307">
    <w:abstractNumId w:val="3"/>
  </w:num>
  <w:num w:numId="14" w16cid:durableId="1778257833">
    <w:abstractNumId w:val="17"/>
  </w:num>
  <w:num w:numId="15" w16cid:durableId="1330645094">
    <w:abstractNumId w:val="15"/>
  </w:num>
  <w:num w:numId="16" w16cid:durableId="42605297">
    <w:abstractNumId w:val="7"/>
  </w:num>
  <w:num w:numId="17" w16cid:durableId="2108961874">
    <w:abstractNumId w:val="22"/>
  </w:num>
  <w:num w:numId="18" w16cid:durableId="1718889785">
    <w:abstractNumId w:val="20"/>
  </w:num>
  <w:num w:numId="19" w16cid:durableId="1378747274">
    <w:abstractNumId w:val="19"/>
  </w:num>
  <w:num w:numId="20" w16cid:durableId="773021001">
    <w:abstractNumId w:val="16"/>
  </w:num>
  <w:num w:numId="21" w16cid:durableId="1825970839">
    <w:abstractNumId w:val="6"/>
  </w:num>
  <w:num w:numId="22" w16cid:durableId="1029530909">
    <w:abstractNumId w:val="12"/>
  </w:num>
  <w:num w:numId="23" w16cid:durableId="1870601570">
    <w:abstractNumId w:val="26"/>
  </w:num>
  <w:num w:numId="24" w16cid:durableId="1207525779">
    <w:abstractNumId w:val="10"/>
  </w:num>
  <w:num w:numId="25" w16cid:durableId="1705321640">
    <w:abstractNumId w:val="4"/>
  </w:num>
  <w:num w:numId="26" w16cid:durableId="820580084">
    <w:abstractNumId w:val="9"/>
  </w:num>
  <w:num w:numId="27" w16cid:durableId="910889657">
    <w:abstractNumId w:val="1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colormru v:ext="edit" colors="#e6dc4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102"/>
    <w:rsid w:val="000026ED"/>
    <w:rsid w:val="00007499"/>
    <w:rsid w:val="00014317"/>
    <w:rsid w:val="00014858"/>
    <w:rsid w:val="000434E5"/>
    <w:rsid w:val="000471AB"/>
    <w:rsid w:val="0005697E"/>
    <w:rsid w:val="00066D84"/>
    <w:rsid w:val="00073576"/>
    <w:rsid w:val="0007443F"/>
    <w:rsid w:val="000835E1"/>
    <w:rsid w:val="00094042"/>
    <w:rsid w:val="000B1E11"/>
    <w:rsid w:val="000B2AFC"/>
    <w:rsid w:val="000C0CF2"/>
    <w:rsid w:val="000C56D6"/>
    <w:rsid w:val="000D16C7"/>
    <w:rsid w:val="000E485A"/>
    <w:rsid w:val="000F063B"/>
    <w:rsid w:val="00104B38"/>
    <w:rsid w:val="00121F7B"/>
    <w:rsid w:val="00122079"/>
    <w:rsid w:val="0013216C"/>
    <w:rsid w:val="00132211"/>
    <w:rsid w:val="00136883"/>
    <w:rsid w:val="00146BD7"/>
    <w:rsid w:val="00154BBF"/>
    <w:rsid w:val="00175242"/>
    <w:rsid w:val="001821B2"/>
    <w:rsid w:val="00182213"/>
    <w:rsid w:val="00183C1D"/>
    <w:rsid w:val="00184DEC"/>
    <w:rsid w:val="001926E1"/>
    <w:rsid w:val="00194D0D"/>
    <w:rsid w:val="00194DB6"/>
    <w:rsid w:val="001C62DE"/>
    <w:rsid w:val="001D2ACF"/>
    <w:rsid w:val="001D5DCB"/>
    <w:rsid w:val="001F5172"/>
    <w:rsid w:val="002063A2"/>
    <w:rsid w:val="00207B38"/>
    <w:rsid w:val="00213A65"/>
    <w:rsid w:val="0021463E"/>
    <w:rsid w:val="00217EE7"/>
    <w:rsid w:val="002237D3"/>
    <w:rsid w:val="002549B4"/>
    <w:rsid w:val="002616EF"/>
    <w:rsid w:val="00261FC1"/>
    <w:rsid w:val="002660F7"/>
    <w:rsid w:val="00270DBA"/>
    <w:rsid w:val="00283C4D"/>
    <w:rsid w:val="00292082"/>
    <w:rsid w:val="002931BB"/>
    <w:rsid w:val="00293410"/>
    <w:rsid w:val="002A157B"/>
    <w:rsid w:val="002A2832"/>
    <w:rsid w:val="002B7B1D"/>
    <w:rsid w:val="002C66C8"/>
    <w:rsid w:val="002C7FB2"/>
    <w:rsid w:val="002E0AE8"/>
    <w:rsid w:val="002E0D25"/>
    <w:rsid w:val="002E1700"/>
    <w:rsid w:val="002F7CE9"/>
    <w:rsid w:val="00306348"/>
    <w:rsid w:val="003143D1"/>
    <w:rsid w:val="00323903"/>
    <w:rsid w:val="003340A1"/>
    <w:rsid w:val="00334C6D"/>
    <w:rsid w:val="00355011"/>
    <w:rsid w:val="00357CFD"/>
    <w:rsid w:val="003629FF"/>
    <w:rsid w:val="00362DEE"/>
    <w:rsid w:val="003634A7"/>
    <w:rsid w:val="0036350F"/>
    <w:rsid w:val="0036504A"/>
    <w:rsid w:val="00366CB8"/>
    <w:rsid w:val="00374C5F"/>
    <w:rsid w:val="003852F4"/>
    <w:rsid w:val="00387A6D"/>
    <w:rsid w:val="0039310B"/>
    <w:rsid w:val="00394500"/>
    <w:rsid w:val="00397811"/>
    <w:rsid w:val="003A54D0"/>
    <w:rsid w:val="003A6432"/>
    <w:rsid w:val="003B10F3"/>
    <w:rsid w:val="003B3605"/>
    <w:rsid w:val="003B5B15"/>
    <w:rsid w:val="003E06DD"/>
    <w:rsid w:val="003F1627"/>
    <w:rsid w:val="00403E09"/>
    <w:rsid w:val="00404AA9"/>
    <w:rsid w:val="0042636C"/>
    <w:rsid w:val="004265AA"/>
    <w:rsid w:val="00441264"/>
    <w:rsid w:val="004554F8"/>
    <w:rsid w:val="00456FC4"/>
    <w:rsid w:val="0045780E"/>
    <w:rsid w:val="0046354F"/>
    <w:rsid w:val="004717E5"/>
    <w:rsid w:val="00475BD1"/>
    <w:rsid w:val="00492F49"/>
    <w:rsid w:val="004A5B29"/>
    <w:rsid w:val="004A5E80"/>
    <w:rsid w:val="004A651C"/>
    <w:rsid w:val="004B2DCD"/>
    <w:rsid w:val="004B4F37"/>
    <w:rsid w:val="004C2785"/>
    <w:rsid w:val="004D3753"/>
    <w:rsid w:val="004D7B78"/>
    <w:rsid w:val="00534797"/>
    <w:rsid w:val="005358C0"/>
    <w:rsid w:val="005411A6"/>
    <w:rsid w:val="00545206"/>
    <w:rsid w:val="00571306"/>
    <w:rsid w:val="0057135A"/>
    <w:rsid w:val="005720C6"/>
    <w:rsid w:val="005801F4"/>
    <w:rsid w:val="005812AB"/>
    <w:rsid w:val="00583B8B"/>
    <w:rsid w:val="005C2198"/>
    <w:rsid w:val="005C408C"/>
    <w:rsid w:val="005C4CA8"/>
    <w:rsid w:val="005C5B28"/>
    <w:rsid w:val="005D17EC"/>
    <w:rsid w:val="005D762C"/>
    <w:rsid w:val="005E0C23"/>
    <w:rsid w:val="005F4763"/>
    <w:rsid w:val="005F5D84"/>
    <w:rsid w:val="005F6B03"/>
    <w:rsid w:val="0060490E"/>
    <w:rsid w:val="00606609"/>
    <w:rsid w:val="0060674B"/>
    <w:rsid w:val="00622130"/>
    <w:rsid w:val="00622A18"/>
    <w:rsid w:val="0062527A"/>
    <w:rsid w:val="00656515"/>
    <w:rsid w:val="0066648E"/>
    <w:rsid w:val="00674BBC"/>
    <w:rsid w:val="00683379"/>
    <w:rsid w:val="00684A9C"/>
    <w:rsid w:val="0069029C"/>
    <w:rsid w:val="006928EB"/>
    <w:rsid w:val="006D00F0"/>
    <w:rsid w:val="006D1977"/>
    <w:rsid w:val="006E09C3"/>
    <w:rsid w:val="006E6DFE"/>
    <w:rsid w:val="006F146D"/>
    <w:rsid w:val="006F49F7"/>
    <w:rsid w:val="006F7214"/>
    <w:rsid w:val="00702E4A"/>
    <w:rsid w:val="00704323"/>
    <w:rsid w:val="00720F01"/>
    <w:rsid w:val="00721761"/>
    <w:rsid w:val="00723FA2"/>
    <w:rsid w:val="00726E40"/>
    <w:rsid w:val="00737CC8"/>
    <w:rsid w:val="00740FDD"/>
    <w:rsid w:val="0074722A"/>
    <w:rsid w:val="00747FB9"/>
    <w:rsid w:val="00751E77"/>
    <w:rsid w:val="00761D80"/>
    <w:rsid w:val="00773640"/>
    <w:rsid w:val="007777DD"/>
    <w:rsid w:val="007805C1"/>
    <w:rsid w:val="00790DF2"/>
    <w:rsid w:val="007A0E31"/>
    <w:rsid w:val="007A2240"/>
    <w:rsid w:val="007B0404"/>
    <w:rsid w:val="007B23CF"/>
    <w:rsid w:val="007B39C5"/>
    <w:rsid w:val="007B6F21"/>
    <w:rsid w:val="007B7BB3"/>
    <w:rsid w:val="007C28B4"/>
    <w:rsid w:val="007D0C98"/>
    <w:rsid w:val="007D75D1"/>
    <w:rsid w:val="007E23E9"/>
    <w:rsid w:val="007E2B2D"/>
    <w:rsid w:val="007F3E17"/>
    <w:rsid w:val="007F4869"/>
    <w:rsid w:val="00803421"/>
    <w:rsid w:val="008219D9"/>
    <w:rsid w:val="00823CDB"/>
    <w:rsid w:val="008259C2"/>
    <w:rsid w:val="00834724"/>
    <w:rsid w:val="0084489F"/>
    <w:rsid w:val="00851759"/>
    <w:rsid w:val="00855071"/>
    <w:rsid w:val="0086392B"/>
    <w:rsid w:val="00867476"/>
    <w:rsid w:val="00871CEE"/>
    <w:rsid w:val="00880BBF"/>
    <w:rsid w:val="008B3F01"/>
    <w:rsid w:val="008C1B65"/>
    <w:rsid w:val="008D01BB"/>
    <w:rsid w:val="008D482D"/>
    <w:rsid w:val="008D7701"/>
    <w:rsid w:val="008F21EE"/>
    <w:rsid w:val="008F3A9B"/>
    <w:rsid w:val="00901493"/>
    <w:rsid w:val="00911420"/>
    <w:rsid w:val="00911D2E"/>
    <w:rsid w:val="00920DE1"/>
    <w:rsid w:val="00933638"/>
    <w:rsid w:val="00943DA0"/>
    <w:rsid w:val="00944409"/>
    <w:rsid w:val="00950E74"/>
    <w:rsid w:val="00962C71"/>
    <w:rsid w:val="009706ED"/>
    <w:rsid w:val="00995699"/>
    <w:rsid w:val="009963A9"/>
    <w:rsid w:val="009A46DC"/>
    <w:rsid w:val="009B5040"/>
    <w:rsid w:val="009B6102"/>
    <w:rsid w:val="009C0F22"/>
    <w:rsid w:val="009C14E4"/>
    <w:rsid w:val="009D3A64"/>
    <w:rsid w:val="009E0454"/>
    <w:rsid w:val="009E6217"/>
    <w:rsid w:val="00A0448C"/>
    <w:rsid w:val="00A05C0C"/>
    <w:rsid w:val="00A0633E"/>
    <w:rsid w:val="00A104A3"/>
    <w:rsid w:val="00A341BA"/>
    <w:rsid w:val="00A44067"/>
    <w:rsid w:val="00A460B2"/>
    <w:rsid w:val="00A6743A"/>
    <w:rsid w:val="00A72A05"/>
    <w:rsid w:val="00A74E97"/>
    <w:rsid w:val="00A7627F"/>
    <w:rsid w:val="00A878B9"/>
    <w:rsid w:val="00A90860"/>
    <w:rsid w:val="00A924F7"/>
    <w:rsid w:val="00AA3970"/>
    <w:rsid w:val="00AB1409"/>
    <w:rsid w:val="00AC0DC7"/>
    <w:rsid w:val="00AE318A"/>
    <w:rsid w:val="00AE354D"/>
    <w:rsid w:val="00B0197B"/>
    <w:rsid w:val="00B12319"/>
    <w:rsid w:val="00B13E38"/>
    <w:rsid w:val="00B170F7"/>
    <w:rsid w:val="00B25352"/>
    <w:rsid w:val="00B27273"/>
    <w:rsid w:val="00B32244"/>
    <w:rsid w:val="00B329B6"/>
    <w:rsid w:val="00B44F0F"/>
    <w:rsid w:val="00B711AE"/>
    <w:rsid w:val="00B90EF1"/>
    <w:rsid w:val="00B91461"/>
    <w:rsid w:val="00B97AC2"/>
    <w:rsid w:val="00BA27E7"/>
    <w:rsid w:val="00BA3A86"/>
    <w:rsid w:val="00BA7C13"/>
    <w:rsid w:val="00BC0905"/>
    <w:rsid w:val="00BC489D"/>
    <w:rsid w:val="00BE0756"/>
    <w:rsid w:val="00BE44F5"/>
    <w:rsid w:val="00BF2DE6"/>
    <w:rsid w:val="00BF667E"/>
    <w:rsid w:val="00C07431"/>
    <w:rsid w:val="00C31129"/>
    <w:rsid w:val="00C41A5D"/>
    <w:rsid w:val="00C45D38"/>
    <w:rsid w:val="00C5651E"/>
    <w:rsid w:val="00C56AFC"/>
    <w:rsid w:val="00C57209"/>
    <w:rsid w:val="00C64340"/>
    <w:rsid w:val="00C67BA6"/>
    <w:rsid w:val="00C73E11"/>
    <w:rsid w:val="00C87ADE"/>
    <w:rsid w:val="00C93F61"/>
    <w:rsid w:val="00CA2880"/>
    <w:rsid w:val="00CA4173"/>
    <w:rsid w:val="00CB583B"/>
    <w:rsid w:val="00CB6243"/>
    <w:rsid w:val="00CC4C88"/>
    <w:rsid w:val="00CC7E6C"/>
    <w:rsid w:val="00D16F0A"/>
    <w:rsid w:val="00D376B3"/>
    <w:rsid w:val="00D5223C"/>
    <w:rsid w:val="00D546BB"/>
    <w:rsid w:val="00D550AB"/>
    <w:rsid w:val="00D56B08"/>
    <w:rsid w:val="00D66D8B"/>
    <w:rsid w:val="00D70E8D"/>
    <w:rsid w:val="00D76AA8"/>
    <w:rsid w:val="00D80C4F"/>
    <w:rsid w:val="00D87FF5"/>
    <w:rsid w:val="00D927D0"/>
    <w:rsid w:val="00D92CDA"/>
    <w:rsid w:val="00DB6635"/>
    <w:rsid w:val="00DB733C"/>
    <w:rsid w:val="00DF230F"/>
    <w:rsid w:val="00E21868"/>
    <w:rsid w:val="00E23B76"/>
    <w:rsid w:val="00E31213"/>
    <w:rsid w:val="00E32E8D"/>
    <w:rsid w:val="00E335D5"/>
    <w:rsid w:val="00E41DB1"/>
    <w:rsid w:val="00E534B3"/>
    <w:rsid w:val="00E6149E"/>
    <w:rsid w:val="00E6681A"/>
    <w:rsid w:val="00E67823"/>
    <w:rsid w:val="00E7499B"/>
    <w:rsid w:val="00E7711F"/>
    <w:rsid w:val="00E90F0D"/>
    <w:rsid w:val="00E9794B"/>
    <w:rsid w:val="00EE7D2B"/>
    <w:rsid w:val="00F01521"/>
    <w:rsid w:val="00F14F79"/>
    <w:rsid w:val="00F200CB"/>
    <w:rsid w:val="00F27FF3"/>
    <w:rsid w:val="00F4159D"/>
    <w:rsid w:val="00F52E40"/>
    <w:rsid w:val="00F54091"/>
    <w:rsid w:val="00F64974"/>
    <w:rsid w:val="00F737B9"/>
    <w:rsid w:val="00F751D7"/>
    <w:rsid w:val="00F751E4"/>
    <w:rsid w:val="00F80442"/>
    <w:rsid w:val="00F85A95"/>
    <w:rsid w:val="00F9722A"/>
    <w:rsid w:val="00F97518"/>
    <w:rsid w:val="00FA007B"/>
    <w:rsid w:val="00FA152E"/>
    <w:rsid w:val="00FA3884"/>
    <w:rsid w:val="00FA4761"/>
    <w:rsid w:val="00FB14FF"/>
    <w:rsid w:val="00FC15BC"/>
    <w:rsid w:val="00FC3157"/>
    <w:rsid w:val="00FC3BF2"/>
    <w:rsid w:val="00FC58C8"/>
    <w:rsid w:val="00FC5952"/>
    <w:rsid w:val="00FD3392"/>
    <w:rsid w:val="00FD5119"/>
    <w:rsid w:val="00FF0D03"/>
    <w:rsid w:val="00FF45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6dc44"/>
    </o:shapedefaults>
    <o:shapelayout v:ext="edit">
      <o:idmap v:ext="edit" data="2"/>
    </o:shapelayout>
  </w:shapeDefaults>
  <w:decimalSymbol w:val="."/>
  <w:listSeparator w:val=","/>
  <w14:docId w14:val="395BED82"/>
  <w15:docId w15:val="{5C1E4B2F-E18C-4F75-9E88-1D9B19E6D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line="260" w:lineRule="atLeast"/>
    </w:pPr>
    <w:rPr>
      <w:rFonts w:ascii="Arial" w:hAnsi="Arial"/>
      <w:szCs w:val="24"/>
    </w:rPr>
  </w:style>
  <w:style w:type="paragraph" w:styleId="Heading1">
    <w:name w:val="heading 1"/>
    <w:basedOn w:val="Normal"/>
    <w:next w:val="Normal"/>
    <w:qFormat/>
    <w:pPr>
      <w:keepNext/>
      <w:spacing w:before="120" w:after="480" w:line="420" w:lineRule="atLeast"/>
      <w:outlineLvl w:val="0"/>
    </w:pPr>
    <w:rPr>
      <w:rFonts w:cs="Arial"/>
      <w:bCs/>
      <w:color w:val="163F75"/>
      <w:spacing w:val="-4"/>
      <w:kern w:val="32"/>
      <w:sz w:val="36"/>
      <w:szCs w:val="36"/>
    </w:rPr>
  </w:style>
  <w:style w:type="paragraph" w:styleId="Heading2">
    <w:name w:val="heading 2"/>
    <w:basedOn w:val="Normal"/>
    <w:next w:val="Normal"/>
    <w:qFormat/>
    <w:pPr>
      <w:keepNext/>
      <w:spacing w:before="280" w:after="80" w:line="320" w:lineRule="atLeast"/>
      <w:outlineLvl w:val="1"/>
    </w:pPr>
    <w:rPr>
      <w:rFonts w:cs="Arial"/>
      <w:bCs/>
      <w:iCs/>
      <w:color w:val="163F75"/>
      <w:sz w:val="28"/>
      <w:szCs w:val="28"/>
    </w:rPr>
  </w:style>
  <w:style w:type="paragraph" w:styleId="Heading3">
    <w:name w:val="heading 3"/>
    <w:aliases w:val="Level 1 - 1"/>
    <w:basedOn w:val="Normal"/>
    <w:next w:val="Normal"/>
    <w:autoRedefine/>
    <w:qFormat/>
    <w:rsid w:val="002C66C8"/>
    <w:pPr>
      <w:keepNext/>
      <w:spacing w:line="240" w:lineRule="auto"/>
      <w:contextualSpacing/>
      <w:outlineLvl w:val="2"/>
    </w:pPr>
    <w:rPr>
      <w:rFonts w:cs="Arial"/>
      <w:b/>
      <w:bCs/>
      <w:sz w:val="22"/>
      <w:szCs w:val="22"/>
    </w:rPr>
  </w:style>
  <w:style w:type="paragraph" w:styleId="Heading4">
    <w:name w:val="heading 4"/>
    <w:basedOn w:val="Normal"/>
    <w:next w:val="Normal"/>
    <w:qFormat/>
    <w:pPr>
      <w:keepNext/>
      <w:keepLines/>
      <w:shd w:val="solid" w:color="FFFFFF" w:fill="FFFFFF"/>
      <w:spacing w:before="220" w:after="60" w:line="240" w:lineRule="auto"/>
      <w:jc w:val="both"/>
      <w:outlineLvl w:val="3"/>
    </w:pPr>
    <w:rPr>
      <w:b/>
      <w:sz w:val="22"/>
      <w:szCs w:val="20"/>
      <w:lang w:eastAsia="en-US"/>
    </w:rPr>
  </w:style>
  <w:style w:type="paragraph" w:styleId="Heading5">
    <w:name w:val="heading 5"/>
    <w:basedOn w:val="Normal"/>
    <w:next w:val="Normal"/>
    <w:qFormat/>
    <w:pPr>
      <w:keepNext/>
      <w:spacing w:before="120"/>
      <w:outlineLvl w:val="4"/>
    </w:pPr>
    <w:rPr>
      <w:b/>
      <w:bCs/>
    </w:rPr>
  </w:style>
  <w:style w:type="paragraph" w:styleId="Heading6">
    <w:name w:val="heading 6"/>
    <w:basedOn w:val="Normal"/>
    <w:next w:val="Normal"/>
    <w:qFormat/>
    <w:pPr>
      <w:keepNext/>
      <w:outlineLvl w:val="5"/>
    </w:pPr>
    <w:rPr>
      <w:b/>
      <w:bCs/>
      <w:sz w:val="24"/>
    </w:rPr>
  </w:style>
  <w:style w:type="paragraph" w:styleId="Heading7">
    <w:name w:val="heading 7"/>
    <w:basedOn w:val="Normal"/>
    <w:next w:val="Normal"/>
    <w:qFormat/>
    <w:pPr>
      <w:keepNext/>
      <w:spacing w:line="240" w:lineRule="auto"/>
      <w:jc w:val="both"/>
      <w:outlineLvl w:val="6"/>
    </w:pPr>
    <w:rPr>
      <w:rFonts w:ascii="Times New Roman" w:hAnsi="Times New Roman"/>
      <w:sz w:val="24"/>
      <w:szCs w:val="20"/>
      <w:lang w:val="en-US" w:eastAsia="en-US"/>
    </w:rPr>
  </w:style>
  <w:style w:type="paragraph" w:styleId="Heading8">
    <w:name w:val="heading 8"/>
    <w:basedOn w:val="Normal"/>
    <w:next w:val="Normal"/>
    <w:qFormat/>
    <w:pPr>
      <w:keepNext/>
      <w:spacing w:line="240" w:lineRule="auto"/>
      <w:jc w:val="both"/>
      <w:outlineLvl w:val="7"/>
    </w:pPr>
    <w:rPr>
      <w:rFonts w:ascii="Times New Roman" w:hAnsi="Times New Roman"/>
      <w:b/>
      <w:sz w:val="24"/>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1">
    <w:name w:val="Indent 1"/>
    <w:basedOn w:val="Normal"/>
    <w:autoRedefine/>
    <w:pPr>
      <w:keepLines/>
      <w:shd w:val="solid" w:color="FFFFFF" w:fill="FFFFFF"/>
      <w:spacing w:after="140"/>
      <w:ind w:left="454"/>
      <w:jc w:val="both"/>
    </w:pPr>
    <w:rPr>
      <w:b/>
      <w:bCs/>
      <w:szCs w:val="20"/>
      <w:lang w:eastAsia="en-US"/>
    </w:rPr>
  </w:style>
  <w:style w:type="paragraph" w:styleId="Title">
    <w:name w:val="Title"/>
    <w:basedOn w:val="Normal"/>
    <w:qFormat/>
    <w:pPr>
      <w:spacing w:after="120" w:line="480" w:lineRule="exact"/>
    </w:pPr>
    <w:rPr>
      <w:rFonts w:cs="Arial"/>
      <w:bCs/>
      <w:color w:val="106994"/>
      <w:kern w:val="28"/>
      <w:sz w:val="40"/>
      <w:szCs w:val="40"/>
    </w:rPr>
  </w:style>
  <w:style w:type="paragraph" w:styleId="Subtitle">
    <w:name w:val="Subtitle"/>
    <w:basedOn w:val="Normal"/>
    <w:autoRedefine/>
    <w:qFormat/>
    <w:rsid w:val="00BE0756"/>
    <w:pPr>
      <w:framePr w:wrap="around" w:vAnchor="page" w:hAnchor="page" w:x="2170" w:y="4022"/>
      <w:spacing w:after="360"/>
      <w:suppressOverlap/>
    </w:pPr>
    <w:rPr>
      <w:rFonts w:cs="Arial"/>
      <w:b/>
      <w:sz w:val="40"/>
      <w:szCs w:val="40"/>
    </w:rPr>
  </w:style>
  <w:style w:type="paragraph" w:styleId="Date">
    <w:name w:val="Date"/>
    <w:basedOn w:val="Normal"/>
    <w:next w:val="Normal"/>
    <w:pPr>
      <w:spacing w:after="360"/>
    </w:pPr>
    <w:rPr>
      <w:b/>
      <w:color w:val="163F75"/>
      <w:sz w:val="16"/>
      <w:szCs w:val="16"/>
    </w:rPr>
  </w:style>
  <w:style w:type="paragraph" w:styleId="Header">
    <w:name w:val="header"/>
    <w:basedOn w:val="Normal"/>
    <w:pPr>
      <w:tabs>
        <w:tab w:val="center" w:pos="4153"/>
        <w:tab w:val="right" w:pos="8306"/>
      </w:tabs>
    </w:pPr>
  </w:style>
  <w:style w:type="paragraph" w:styleId="Footer">
    <w:name w:val="footer"/>
    <w:basedOn w:val="Normal"/>
    <w:pPr>
      <w:tabs>
        <w:tab w:val="right" w:pos="7853"/>
      </w:tabs>
    </w:pPr>
    <w:rPr>
      <w:noProof/>
      <w:sz w:val="16"/>
    </w:rPr>
  </w:style>
  <w:style w:type="character" w:styleId="PageNumber">
    <w:name w:val="page number"/>
    <w:basedOn w:val="DefaultParagraphFont"/>
  </w:style>
  <w:style w:type="paragraph" w:styleId="TOC2">
    <w:name w:val="toc 2"/>
    <w:basedOn w:val="Normal"/>
    <w:next w:val="Normal"/>
    <w:autoRedefine/>
    <w:semiHidden/>
    <w:pPr>
      <w:spacing w:before="60"/>
    </w:pPr>
  </w:style>
  <w:style w:type="paragraph" w:styleId="TOC1">
    <w:name w:val="toc 1"/>
    <w:basedOn w:val="Normal"/>
    <w:next w:val="Normal"/>
    <w:autoRedefine/>
    <w:semiHidden/>
    <w:pPr>
      <w:spacing w:before="120"/>
    </w:pPr>
    <w:rPr>
      <w:b/>
    </w:rPr>
  </w:style>
  <w:style w:type="character" w:styleId="Hyperlink">
    <w:name w:val="Hyperlink"/>
    <w:rPr>
      <w:color w:val="0000FF"/>
      <w:u w:val="single"/>
    </w:rPr>
  </w:style>
  <w:style w:type="paragraph" w:styleId="ListBullet">
    <w:name w:val="List Bullet"/>
    <w:basedOn w:val="Normal"/>
    <w:autoRedefine/>
    <w:rsid w:val="00F751D7"/>
    <w:pPr>
      <w:spacing w:line="240" w:lineRule="auto"/>
    </w:pPr>
  </w:style>
  <w:style w:type="paragraph" w:customStyle="1" w:styleId="Listnumber21">
    <w:name w:val="List number 2.1"/>
    <w:basedOn w:val="BodyText"/>
    <w:pPr>
      <w:numPr>
        <w:numId w:val="11"/>
      </w:numPr>
      <w:spacing w:after="140"/>
    </w:pPr>
  </w:style>
  <w:style w:type="paragraph" w:customStyle="1" w:styleId="ContentsHeading">
    <w:name w:val="Contents Heading"/>
    <w:basedOn w:val="Normal"/>
    <w:pPr>
      <w:spacing w:after="480" w:line="420" w:lineRule="atLeast"/>
    </w:pPr>
    <w:rPr>
      <w:color w:val="163F75"/>
      <w:sz w:val="36"/>
      <w:szCs w:val="36"/>
    </w:rPr>
  </w:style>
  <w:style w:type="paragraph" w:styleId="List">
    <w:name w:val="List"/>
    <w:basedOn w:val="Normal"/>
    <w:pPr>
      <w:ind w:left="283" w:hanging="283"/>
    </w:pPr>
  </w:style>
  <w:style w:type="paragraph" w:styleId="ListNumber">
    <w:name w:val="List Number"/>
    <w:basedOn w:val="Normal"/>
    <w:pPr>
      <w:numPr>
        <w:numId w:val="2"/>
      </w:numPr>
      <w:spacing w:after="80"/>
    </w:pPr>
  </w:style>
  <w:style w:type="character" w:customStyle="1" w:styleId="BodyTextChar">
    <w:name w:val="Body Text Char"/>
    <w:rPr>
      <w:rFonts w:ascii="Arial" w:hAnsi="Arial"/>
      <w:szCs w:val="24"/>
      <w:lang w:val="en-GB" w:eastAsia="en-GB" w:bidi="ar-SA"/>
    </w:rPr>
  </w:style>
  <w:style w:type="paragraph" w:customStyle="1" w:styleId="HiddenText">
    <w:name w:val="Hidden Text"/>
    <w:basedOn w:val="Header"/>
    <w:pPr>
      <w:spacing w:line="60" w:lineRule="exact"/>
    </w:pPr>
    <w:rPr>
      <w:vanish/>
      <w:szCs w:val="20"/>
    </w:rPr>
  </w:style>
  <w:style w:type="paragraph" w:customStyle="1" w:styleId="AppendixHeading">
    <w:name w:val="Appendix Heading"/>
    <w:basedOn w:val="Heading1"/>
    <w:next w:val="Normal"/>
    <w:pPr>
      <w:pageBreakBefore/>
    </w:pPr>
  </w:style>
  <w:style w:type="paragraph" w:customStyle="1" w:styleId="BulletLisa">
    <w:name w:val="BulletLisa"/>
    <w:basedOn w:val="Normal"/>
    <w:pPr>
      <w:keepLines/>
      <w:numPr>
        <w:numId w:val="3"/>
      </w:numPr>
      <w:shd w:val="solid" w:color="FFFFFF" w:fill="FFFFFF"/>
      <w:spacing w:before="220" w:line="240" w:lineRule="auto"/>
      <w:jc w:val="both"/>
    </w:pPr>
    <w:rPr>
      <w:sz w:val="22"/>
      <w:szCs w:val="20"/>
      <w:lang w:eastAsia="en-US"/>
    </w:rPr>
  </w:style>
  <w:style w:type="paragraph" w:styleId="TOC3">
    <w:name w:val="toc 3"/>
    <w:basedOn w:val="Normal"/>
    <w:next w:val="Normal"/>
    <w:autoRedefine/>
    <w:semiHidden/>
    <w:pPr>
      <w:tabs>
        <w:tab w:val="right" w:pos="7853"/>
      </w:tabs>
    </w:pPr>
  </w:style>
  <w:style w:type="paragraph" w:styleId="ListBullet2">
    <w:name w:val="List Bullet 2"/>
    <w:basedOn w:val="Normal"/>
    <w:pPr>
      <w:keepLines/>
      <w:numPr>
        <w:numId w:val="1"/>
      </w:numPr>
      <w:shd w:val="solid" w:color="FFFFFF" w:fill="FFFFFF"/>
      <w:spacing w:before="220" w:line="240" w:lineRule="auto"/>
      <w:jc w:val="both"/>
    </w:pPr>
    <w:rPr>
      <w:sz w:val="22"/>
      <w:szCs w:val="20"/>
      <w:lang w:eastAsia="en-US"/>
    </w:rPr>
  </w:style>
  <w:style w:type="paragraph" w:customStyle="1" w:styleId="81number">
    <w:name w:val="8.1 number"/>
    <w:basedOn w:val="Normal"/>
    <w:autoRedefine/>
    <w:pPr>
      <w:numPr>
        <w:numId w:val="10"/>
      </w:numPr>
      <w:spacing w:after="140"/>
    </w:pPr>
  </w:style>
  <w:style w:type="paragraph" w:customStyle="1" w:styleId="41number">
    <w:name w:val="4.1 number"/>
    <w:basedOn w:val="Normal"/>
    <w:autoRedefine/>
    <w:pPr>
      <w:numPr>
        <w:numId w:val="5"/>
      </w:numPr>
      <w:spacing w:after="140"/>
    </w:pPr>
  </w:style>
  <w:style w:type="paragraph" w:customStyle="1" w:styleId="31number">
    <w:name w:val="3.1 number"/>
    <w:basedOn w:val="Normal"/>
    <w:pPr>
      <w:numPr>
        <w:numId w:val="4"/>
      </w:numPr>
      <w:spacing w:after="140"/>
    </w:pPr>
  </w:style>
  <w:style w:type="paragraph" w:customStyle="1" w:styleId="51number">
    <w:name w:val="5.1 number"/>
    <w:basedOn w:val="Normal"/>
    <w:autoRedefine/>
    <w:pPr>
      <w:numPr>
        <w:numId w:val="6"/>
      </w:numPr>
      <w:spacing w:after="140"/>
    </w:pPr>
  </w:style>
  <w:style w:type="paragraph" w:customStyle="1" w:styleId="11number">
    <w:name w:val="1.1 number"/>
    <w:basedOn w:val="Normal"/>
    <w:pPr>
      <w:numPr>
        <w:numId w:val="7"/>
      </w:numPr>
      <w:spacing w:after="140"/>
    </w:pPr>
  </w:style>
  <w:style w:type="paragraph" w:customStyle="1" w:styleId="22number">
    <w:name w:val="2.2 number"/>
    <w:basedOn w:val="Normal"/>
    <w:pPr>
      <w:numPr>
        <w:numId w:val="8"/>
      </w:numPr>
      <w:spacing w:after="140"/>
      <w:jc w:val="both"/>
    </w:pPr>
  </w:style>
  <w:style w:type="paragraph" w:customStyle="1" w:styleId="indentnormal">
    <w:name w:val="indent normal"/>
    <w:basedOn w:val="Normal"/>
    <w:pPr>
      <w:spacing w:after="140"/>
      <w:ind w:left="454"/>
    </w:pPr>
  </w:style>
  <w:style w:type="paragraph" w:customStyle="1" w:styleId="61number">
    <w:name w:val="6.1 number"/>
    <w:basedOn w:val="Normal"/>
    <w:autoRedefine/>
    <w:pPr>
      <w:numPr>
        <w:numId w:val="12"/>
      </w:numPr>
      <w:spacing w:after="140"/>
    </w:pPr>
  </w:style>
  <w:style w:type="paragraph" w:customStyle="1" w:styleId="71number">
    <w:name w:val="7.1 number"/>
    <w:basedOn w:val="Normal"/>
    <w:autoRedefine/>
    <w:pPr>
      <w:numPr>
        <w:numId w:val="9"/>
      </w:numPr>
      <w:spacing w:after="140"/>
      <w:jc w:val="both"/>
    </w:pPr>
  </w:style>
  <w:style w:type="paragraph" w:customStyle="1" w:styleId="Bullet2">
    <w:name w:val="Bullet 2"/>
    <w:basedOn w:val="Normal"/>
    <w:pPr>
      <w:spacing w:after="140"/>
    </w:pPr>
    <w:rPr>
      <w:rFonts w:ascii="Arial Bold" w:hAnsi="Arial Bold"/>
      <w:b/>
    </w:rPr>
  </w:style>
  <w:style w:type="paragraph" w:styleId="BodyText">
    <w:name w:val="Body Text"/>
    <w:aliases w:val="MG Text"/>
    <w:basedOn w:val="Normal"/>
    <w:pPr>
      <w:spacing w:after="120"/>
    </w:pPr>
  </w:style>
  <w:style w:type="paragraph" w:styleId="BodyText2">
    <w:name w:val="Body Text 2"/>
    <w:basedOn w:val="Normal"/>
    <w:pPr>
      <w:spacing w:line="240" w:lineRule="auto"/>
      <w:jc w:val="both"/>
    </w:pPr>
    <w:rPr>
      <w:rFonts w:ascii="Frutiger LT 45 Light" w:hAnsi="Frutiger LT 45 Light"/>
      <w:sz w:val="22"/>
      <w:szCs w:val="20"/>
      <w:lang w:eastAsia="en-US"/>
    </w:rPr>
  </w:style>
  <w:style w:type="paragraph" w:styleId="DocumentMap">
    <w:name w:val="Document Map"/>
    <w:basedOn w:val="Normal"/>
    <w:semiHidden/>
    <w:pPr>
      <w:keepLines/>
      <w:shd w:val="clear" w:color="auto" w:fill="000080"/>
      <w:spacing w:before="220" w:line="240" w:lineRule="auto"/>
      <w:jc w:val="both"/>
    </w:pPr>
    <w:rPr>
      <w:rFonts w:ascii="Tahoma" w:hAnsi="Tahoma"/>
      <w:sz w:val="22"/>
      <w:szCs w:val="20"/>
      <w:lang w:eastAsia="en-US"/>
    </w:rPr>
  </w:style>
  <w:style w:type="paragraph" w:customStyle="1" w:styleId="ListBullet31">
    <w:name w:val="List Bullet 31"/>
    <w:basedOn w:val="BodyText"/>
    <w:pPr>
      <w:keepLines/>
      <w:numPr>
        <w:numId w:val="14"/>
      </w:numPr>
      <w:shd w:val="solid" w:color="FFFFFF" w:fill="FFFFFF"/>
      <w:spacing w:before="220" w:after="0" w:line="240" w:lineRule="auto"/>
      <w:jc w:val="both"/>
    </w:pPr>
    <w:rPr>
      <w:sz w:val="22"/>
      <w:szCs w:val="20"/>
      <w:lang w:eastAsia="en-US"/>
    </w:rPr>
  </w:style>
  <w:style w:type="paragraph" w:customStyle="1" w:styleId="ListContinue1">
    <w:name w:val="List Continue1"/>
    <w:basedOn w:val="BodyText"/>
    <w:pPr>
      <w:spacing w:after="140"/>
      <w:ind w:left="454"/>
    </w:pPr>
  </w:style>
  <w:style w:type="paragraph" w:customStyle="1" w:styleId="51">
    <w:name w:val="5.1"/>
    <w:basedOn w:val="BodyText"/>
    <w:pPr>
      <w:numPr>
        <w:numId w:val="15"/>
      </w:numPr>
      <w:spacing w:after="140"/>
    </w:pPr>
  </w:style>
  <w:style w:type="paragraph" w:customStyle="1" w:styleId="53">
    <w:name w:val="5.3"/>
    <w:basedOn w:val="BodyText"/>
    <w:pPr>
      <w:numPr>
        <w:numId w:val="16"/>
      </w:numPr>
      <w:spacing w:after="140"/>
    </w:pPr>
    <w:rPr>
      <w:rFonts w:ascii="Arial Bold" w:hAnsi="Arial Bold"/>
      <w:b/>
    </w:rPr>
  </w:style>
  <w:style w:type="paragraph" w:customStyle="1" w:styleId="-bullet">
    <w:name w:val="- bullet"/>
    <w:basedOn w:val="BodyText"/>
    <w:pPr>
      <w:numPr>
        <w:numId w:val="13"/>
      </w:numPr>
      <w:spacing w:after="140"/>
    </w:pPr>
  </w:style>
  <w:style w:type="paragraph" w:customStyle="1" w:styleId="57">
    <w:name w:val="5.7"/>
    <w:basedOn w:val="BodyText"/>
    <w:pPr>
      <w:numPr>
        <w:numId w:val="17"/>
      </w:numPr>
      <w:spacing w:after="140"/>
    </w:pPr>
  </w:style>
  <w:style w:type="paragraph" w:styleId="BodyText3">
    <w:name w:val="Body Text 3"/>
    <w:basedOn w:val="Normal"/>
    <w:pPr>
      <w:spacing w:line="240" w:lineRule="auto"/>
      <w:jc w:val="both"/>
    </w:pPr>
    <w:rPr>
      <w:rFonts w:ascii="Times New Roman" w:hAnsi="Times New Roman"/>
      <w:sz w:val="24"/>
      <w:szCs w:val="20"/>
      <w:lang w:val="en-US" w:eastAsia="en-US"/>
    </w:rPr>
  </w:style>
  <w:style w:type="paragraph" w:styleId="ListParagraph">
    <w:name w:val="List Paragraph"/>
    <w:basedOn w:val="Normal"/>
    <w:uiPriority w:val="34"/>
    <w:qFormat/>
    <w:rsid w:val="00357CFD"/>
    <w:pPr>
      <w:spacing w:after="200" w:line="276" w:lineRule="auto"/>
      <w:ind w:left="720"/>
      <w:contextualSpacing/>
    </w:pPr>
    <w:rPr>
      <w:rFonts w:ascii="Calibri" w:hAnsi="Calibri"/>
      <w:sz w:val="22"/>
      <w:szCs w:val="22"/>
    </w:rPr>
  </w:style>
  <w:style w:type="table" w:styleId="TableGrid">
    <w:name w:val="Table Grid"/>
    <w:basedOn w:val="TableNormal"/>
    <w:uiPriority w:val="59"/>
    <w:rsid w:val="000C0CF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C0CF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711AE"/>
    <w:pPr>
      <w:spacing w:line="240" w:lineRule="auto"/>
    </w:pPr>
    <w:rPr>
      <w:rFonts w:ascii="Tahoma" w:hAnsi="Tahoma" w:cs="Tahoma"/>
      <w:sz w:val="16"/>
      <w:szCs w:val="16"/>
    </w:rPr>
  </w:style>
  <w:style w:type="character" w:customStyle="1" w:styleId="BalloonTextChar">
    <w:name w:val="Balloon Text Char"/>
    <w:link w:val="BalloonText"/>
    <w:rsid w:val="00B711AE"/>
    <w:rPr>
      <w:rFonts w:ascii="Tahoma" w:hAnsi="Tahoma" w:cs="Tahoma"/>
      <w:sz w:val="16"/>
      <w:szCs w:val="16"/>
    </w:rPr>
  </w:style>
  <w:style w:type="character" w:styleId="CommentReference">
    <w:name w:val="annotation reference"/>
    <w:basedOn w:val="DefaultParagraphFont"/>
    <w:semiHidden/>
    <w:unhideWhenUsed/>
    <w:rsid w:val="00FD3392"/>
    <w:rPr>
      <w:sz w:val="16"/>
      <w:szCs w:val="16"/>
    </w:rPr>
  </w:style>
  <w:style w:type="paragraph" w:styleId="CommentText">
    <w:name w:val="annotation text"/>
    <w:basedOn w:val="Normal"/>
    <w:link w:val="CommentTextChar"/>
    <w:semiHidden/>
    <w:unhideWhenUsed/>
    <w:rsid w:val="00FD3392"/>
    <w:pPr>
      <w:spacing w:line="240" w:lineRule="auto"/>
    </w:pPr>
    <w:rPr>
      <w:szCs w:val="20"/>
    </w:rPr>
  </w:style>
  <w:style w:type="character" w:customStyle="1" w:styleId="CommentTextChar">
    <w:name w:val="Comment Text Char"/>
    <w:basedOn w:val="DefaultParagraphFont"/>
    <w:link w:val="CommentText"/>
    <w:semiHidden/>
    <w:rsid w:val="00FD3392"/>
    <w:rPr>
      <w:rFonts w:ascii="Arial" w:hAnsi="Arial"/>
    </w:rPr>
  </w:style>
  <w:style w:type="paragraph" w:styleId="CommentSubject">
    <w:name w:val="annotation subject"/>
    <w:basedOn w:val="CommentText"/>
    <w:next w:val="CommentText"/>
    <w:link w:val="CommentSubjectChar"/>
    <w:semiHidden/>
    <w:unhideWhenUsed/>
    <w:rsid w:val="00FD3392"/>
    <w:rPr>
      <w:b/>
      <w:bCs/>
    </w:rPr>
  </w:style>
  <w:style w:type="character" w:customStyle="1" w:styleId="CommentSubjectChar">
    <w:name w:val="Comment Subject Char"/>
    <w:basedOn w:val="CommentTextChar"/>
    <w:link w:val="CommentSubject"/>
    <w:semiHidden/>
    <w:rsid w:val="00FD3392"/>
    <w:rPr>
      <w:rFonts w:ascii="Arial" w:hAnsi="Arial"/>
      <w:b/>
      <w:bCs/>
    </w:rPr>
  </w:style>
  <w:style w:type="paragraph" w:styleId="Revision">
    <w:name w:val="Revision"/>
    <w:hidden/>
    <w:uiPriority w:val="99"/>
    <w:semiHidden/>
    <w:rsid w:val="00014317"/>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923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Software\Microsoft%20Office\Workgroup%20Templates\JLT%20EB%202004\Employee%20Benefi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A997CB9AE906246A67541326CA9A8F1" ma:contentTypeVersion="2" ma:contentTypeDescription="Create a new document." ma:contentTypeScope="" ma:versionID="92f1d5bf7f00537e6d928ee037996691">
  <xsd:schema xmlns:xsd="http://www.w3.org/2001/XMLSchema" xmlns:xs="http://www.w3.org/2001/XMLSchema" xmlns:p="http://schemas.microsoft.com/office/2006/metadata/properties" xmlns:ns2="76d674b7-5cbe-49ce-9d79-ad6a43481b63" targetNamespace="http://schemas.microsoft.com/office/2006/metadata/properties" ma:root="true" ma:fieldsID="fafebe6c10501ae28bc3cf6596e4f583" ns2:_="">
    <xsd:import namespace="76d674b7-5cbe-49ce-9d79-ad6a43481b63"/>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674b7-5cbe-49ce-9d79-ad6a43481b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8A9ED1-D535-4E82-8B70-63218D0492E7}">
  <ds:schemaRefs>
    <ds:schemaRef ds:uri="http://schemas.microsoft.com/sharepoint/v3/contenttype/forms"/>
  </ds:schemaRefs>
</ds:datastoreItem>
</file>

<file path=customXml/itemProps2.xml><?xml version="1.0" encoding="utf-8"?>
<ds:datastoreItem xmlns:ds="http://schemas.openxmlformats.org/officeDocument/2006/customXml" ds:itemID="{519AC5EF-2144-4F01-B4C7-3A9131F3B871}">
  <ds:schemaRefs>
    <ds:schemaRef ds:uri="http://schemas.openxmlformats.org/officeDocument/2006/bibliography"/>
  </ds:schemaRefs>
</ds:datastoreItem>
</file>

<file path=customXml/itemProps3.xml><?xml version="1.0" encoding="utf-8"?>
<ds:datastoreItem xmlns:ds="http://schemas.openxmlformats.org/officeDocument/2006/customXml" ds:itemID="{A4A87882-7996-4369-A703-3B767EBE67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674b7-5cbe-49ce-9d79-ad6a43481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E5E1A-24CD-4C80-A733-01D7B45EF64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Employee Benefits</Template>
  <TotalTime>408</TotalTime>
  <Pages>13</Pages>
  <Words>3602</Words>
  <Characters>20538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Together - SIP</vt:lpstr>
    </vt:vector>
  </TitlesOfParts>
  <Company>Barker Tatham Investment Consultants Ltd</Company>
  <LinksUpToDate>false</LinksUpToDate>
  <CharactersWithSpaces>24092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Together - SIP</dc:title>
  <dc:creator>Steve Barker</dc:creator>
  <cp:lastModifiedBy>bobholmes7</cp:lastModifiedBy>
  <cp:revision>12</cp:revision>
  <cp:lastPrinted>2020-09-22T15:32:00Z</cp:lastPrinted>
  <dcterms:created xsi:type="dcterms:W3CDTF">2023-11-08T12:32:00Z</dcterms:created>
  <dcterms:modified xsi:type="dcterms:W3CDTF">2024-01-26T14:15:00Z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0x0101003A997CB9AE906246A67541326CA9A8F1</vt:lpwstr>
  </property>
</Properties>
</file>