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9A767" w14:textId="77777777" w:rsidR="00B330ED" w:rsidRDefault="004A4E95" w:rsidP="00771558">
      <w:pPr>
        <w:jc w:val="both"/>
        <w:rPr>
          <w:rFonts w:cs="Arial"/>
          <w:b/>
          <w:color w:val="808080"/>
          <w:sz w:val="36"/>
          <w:szCs w:val="36"/>
        </w:rPr>
      </w:pPr>
      <w:r w:rsidRPr="00453D74">
        <w:rPr>
          <w:rFonts w:cs="Arial"/>
          <w:b/>
          <w:sz w:val="36"/>
          <w:szCs w:val="36"/>
        </w:rPr>
        <w:t xml:space="preserve">Governance statement for </w:t>
      </w:r>
      <w:r w:rsidR="00E064D9">
        <w:rPr>
          <w:rFonts w:cs="Arial"/>
          <w:b/>
          <w:color w:val="808080"/>
          <w:sz w:val="36"/>
          <w:szCs w:val="36"/>
        </w:rPr>
        <w:t xml:space="preserve">Pertwee </w:t>
      </w:r>
      <w:r w:rsidR="002D3884">
        <w:rPr>
          <w:rFonts w:cs="Arial"/>
          <w:b/>
          <w:color w:val="808080"/>
          <w:sz w:val="36"/>
          <w:szCs w:val="36"/>
        </w:rPr>
        <w:t xml:space="preserve">Estates </w:t>
      </w:r>
      <w:r w:rsidR="00E064D9">
        <w:rPr>
          <w:rFonts w:cs="Arial"/>
          <w:b/>
          <w:color w:val="808080"/>
          <w:sz w:val="36"/>
          <w:szCs w:val="36"/>
        </w:rPr>
        <w:t>Limited Retirement Benefits Scheme</w:t>
      </w:r>
    </w:p>
    <w:p w14:paraId="0097F622" w14:textId="77777777" w:rsidR="004A4E95" w:rsidRDefault="004A4E95" w:rsidP="00771558">
      <w:pPr>
        <w:jc w:val="both"/>
        <w:rPr>
          <w:rFonts w:cs="Arial"/>
          <w:b/>
          <w:sz w:val="36"/>
          <w:szCs w:val="36"/>
        </w:rPr>
      </w:pPr>
    </w:p>
    <w:p w14:paraId="60CA366A" w14:textId="77777777" w:rsidR="00E064D9" w:rsidRPr="00CA1255" w:rsidRDefault="00E064D9" w:rsidP="00771558">
      <w:pPr>
        <w:autoSpaceDE w:val="0"/>
        <w:autoSpaceDN w:val="0"/>
        <w:adjustRightInd w:val="0"/>
        <w:jc w:val="both"/>
        <w:rPr>
          <w:rFonts w:eastAsia="Calibri" w:cs="Arial"/>
          <w:sz w:val="20"/>
          <w:lang w:eastAsia="en-GB"/>
        </w:rPr>
      </w:pPr>
      <w:r>
        <w:rPr>
          <w:rFonts w:eastAsia="Calibri" w:cs="Arial"/>
          <w:sz w:val="20"/>
          <w:lang w:eastAsia="en-GB"/>
        </w:rPr>
        <w:t xml:space="preserve">The Occupational Pension Schemes (Scheme Administration) Regulations 1996 (“the Administration </w:t>
      </w:r>
      <w:r w:rsidRPr="00CA1255">
        <w:rPr>
          <w:rFonts w:eastAsia="Calibri" w:cs="Arial"/>
          <w:sz w:val="20"/>
          <w:lang w:eastAsia="en-GB"/>
        </w:rPr>
        <w:t>Regulations”) require the Trustees to include an annual statement regarding governance in the annual report.</w:t>
      </w:r>
    </w:p>
    <w:p w14:paraId="489665F6" w14:textId="77777777" w:rsidR="00E064D9" w:rsidRPr="00CA1255" w:rsidRDefault="00E064D9" w:rsidP="00771558">
      <w:pPr>
        <w:autoSpaceDE w:val="0"/>
        <w:autoSpaceDN w:val="0"/>
        <w:adjustRightInd w:val="0"/>
        <w:jc w:val="both"/>
        <w:rPr>
          <w:rFonts w:eastAsia="Calibri" w:cs="Arial"/>
          <w:b/>
          <w:bCs/>
          <w:sz w:val="22"/>
          <w:szCs w:val="22"/>
          <w:lang w:eastAsia="en-GB"/>
        </w:rPr>
      </w:pPr>
    </w:p>
    <w:p w14:paraId="4CD2716C" w14:textId="20BD7020" w:rsidR="00E064D9" w:rsidRPr="00CA1255" w:rsidRDefault="005A6D81" w:rsidP="00771558">
      <w:pPr>
        <w:autoSpaceDE w:val="0"/>
        <w:autoSpaceDN w:val="0"/>
        <w:adjustRightInd w:val="0"/>
        <w:jc w:val="both"/>
        <w:rPr>
          <w:rFonts w:eastAsia="Calibri" w:cs="Arial"/>
          <w:b/>
          <w:bCs/>
          <w:sz w:val="22"/>
          <w:szCs w:val="22"/>
          <w:lang w:eastAsia="en-GB"/>
        </w:rPr>
      </w:pPr>
      <w:r>
        <w:rPr>
          <w:rFonts w:eastAsia="Calibri" w:cs="Arial"/>
          <w:b/>
          <w:bCs/>
          <w:sz w:val="22"/>
          <w:szCs w:val="22"/>
          <w:lang w:eastAsia="en-GB"/>
        </w:rPr>
        <w:t>Investment</w:t>
      </w:r>
      <w:r w:rsidR="00E064D9" w:rsidRPr="00CA1255">
        <w:rPr>
          <w:rFonts w:eastAsia="Calibri" w:cs="Arial"/>
          <w:b/>
          <w:bCs/>
          <w:sz w:val="22"/>
          <w:szCs w:val="22"/>
          <w:lang w:eastAsia="en-GB"/>
        </w:rPr>
        <w:t xml:space="preserve"> arrangement</w:t>
      </w:r>
      <w:r>
        <w:rPr>
          <w:rFonts w:eastAsia="Calibri" w:cs="Arial"/>
          <w:b/>
          <w:bCs/>
          <w:sz w:val="22"/>
          <w:szCs w:val="22"/>
          <w:lang w:eastAsia="en-GB"/>
        </w:rPr>
        <w:t>s</w:t>
      </w:r>
    </w:p>
    <w:p w14:paraId="40561B05" w14:textId="77777777" w:rsidR="00E064D9" w:rsidRPr="00CA1255" w:rsidRDefault="00E064D9" w:rsidP="00771558">
      <w:pPr>
        <w:autoSpaceDE w:val="0"/>
        <w:autoSpaceDN w:val="0"/>
        <w:adjustRightInd w:val="0"/>
        <w:jc w:val="both"/>
        <w:rPr>
          <w:rFonts w:eastAsia="Calibri" w:cs="Arial"/>
          <w:sz w:val="20"/>
          <w:lang w:eastAsia="en-GB"/>
        </w:rPr>
      </w:pPr>
    </w:p>
    <w:p w14:paraId="4257600A" w14:textId="24EA97FD" w:rsidR="00E064D9" w:rsidRPr="00CA1255" w:rsidRDefault="003C5668" w:rsidP="00771558">
      <w:pPr>
        <w:autoSpaceDE w:val="0"/>
        <w:autoSpaceDN w:val="0"/>
        <w:adjustRightInd w:val="0"/>
        <w:jc w:val="both"/>
        <w:rPr>
          <w:rFonts w:eastAsia="Calibri" w:cs="Arial"/>
          <w:sz w:val="20"/>
          <w:lang w:eastAsia="en-GB"/>
        </w:rPr>
      </w:pPr>
      <w:r>
        <w:rPr>
          <w:rFonts w:eastAsia="Calibri" w:cs="Arial"/>
          <w:sz w:val="20"/>
          <w:lang w:eastAsia="en-GB"/>
        </w:rPr>
        <w:t>As explained in note 3 to the financial statements, the Scheme is a hybrid scheme</w:t>
      </w:r>
      <w:r w:rsidR="00832A0F">
        <w:rPr>
          <w:rFonts w:eastAsia="Calibri" w:cs="Arial"/>
          <w:sz w:val="20"/>
          <w:lang w:eastAsia="en-GB"/>
        </w:rPr>
        <w:t>. At the end of the financial year, the</w:t>
      </w:r>
      <w:r>
        <w:rPr>
          <w:rFonts w:eastAsia="Calibri" w:cs="Arial"/>
          <w:sz w:val="20"/>
          <w:lang w:eastAsia="en-GB"/>
        </w:rPr>
        <w:t xml:space="preserve"> investments </w:t>
      </w:r>
      <w:r w:rsidR="00832A0F">
        <w:rPr>
          <w:rFonts w:eastAsia="Calibri" w:cs="Arial"/>
          <w:sz w:val="20"/>
          <w:lang w:eastAsia="en-GB"/>
        </w:rPr>
        <w:t>were</w:t>
      </w:r>
      <w:r>
        <w:rPr>
          <w:rFonts w:eastAsia="Calibri" w:cs="Arial"/>
          <w:sz w:val="20"/>
          <w:lang w:eastAsia="en-GB"/>
        </w:rPr>
        <w:t xml:space="preserve"> </w:t>
      </w:r>
      <w:r w:rsidR="00C36FFF">
        <w:rPr>
          <w:rFonts w:eastAsia="Calibri" w:cs="Arial"/>
          <w:sz w:val="20"/>
          <w:lang w:eastAsia="en-GB"/>
        </w:rPr>
        <w:t>divided into defined benefit and money purchase sections</w:t>
      </w:r>
      <w:r w:rsidR="00832A0F">
        <w:rPr>
          <w:rFonts w:eastAsia="Calibri" w:cs="Arial"/>
          <w:sz w:val="20"/>
          <w:lang w:eastAsia="en-GB"/>
        </w:rPr>
        <w:t>. The money purchase section holds assets to secure the Protected Rights of the one DC member of the Scheme</w:t>
      </w:r>
      <w:r w:rsidR="00E064D9" w:rsidRPr="00CA1255">
        <w:rPr>
          <w:rFonts w:eastAsia="Calibri" w:cs="Arial"/>
          <w:sz w:val="20"/>
          <w:lang w:eastAsia="en-GB"/>
        </w:rPr>
        <w:t>.</w:t>
      </w:r>
    </w:p>
    <w:p w14:paraId="2D0C3594" w14:textId="77777777" w:rsidR="00E064D9" w:rsidRPr="00CA1255" w:rsidRDefault="00E064D9" w:rsidP="00771558">
      <w:pPr>
        <w:jc w:val="both"/>
        <w:rPr>
          <w:rFonts w:eastAsia="Calibri"/>
          <w:lang w:eastAsia="en-GB"/>
        </w:rPr>
      </w:pPr>
    </w:p>
    <w:p w14:paraId="238B986C" w14:textId="1E83352C" w:rsidR="00771558" w:rsidRPr="00CA1255" w:rsidRDefault="00832A0F" w:rsidP="00771558">
      <w:pPr>
        <w:autoSpaceDE w:val="0"/>
        <w:autoSpaceDN w:val="0"/>
        <w:adjustRightInd w:val="0"/>
        <w:jc w:val="both"/>
        <w:rPr>
          <w:rFonts w:eastAsia="Calibri" w:cs="Arial"/>
          <w:sz w:val="20"/>
          <w:lang w:eastAsia="en-GB"/>
        </w:rPr>
      </w:pPr>
      <w:r>
        <w:rPr>
          <w:rFonts w:eastAsia="Calibri" w:cs="Arial"/>
          <w:sz w:val="20"/>
          <w:lang w:eastAsia="en-GB"/>
        </w:rPr>
        <w:t>The Statement of Investment Principles annexed to</w:t>
      </w:r>
      <w:r w:rsidRPr="00CA1255">
        <w:rPr>
          <w:rFonts w:eastAsia="Calibri" w:cs="Arial"/>
          <w:sz w:val="20"/>
          <w:lang w:eastAsia="en-GB"/>
        </w:rPr>
        <w:t xml:space="preserve"> this report</w:t>
      </w:r>
      <w:r>
        <w:rPr>
          <w:rFonts w:eastAsia="Calibri" w:cs="Arial"/>
          <w:sz w:val="20"/>
          <w:lang w:eastAsia="en-GB"/>
        </w:rPr>
        <w:t xml:space="preserve"> sets out the different investment strategies that have been adopted for the two sections of the Scheme since the end of the financial year. During the financial year, t</w:t>
      </w:r>
      <w:r w:rsidR="00E064D9" w:rsidRPr="00CA1255">
        <w:rPr>
          <w:rFonts w:eastAsia="Calibri" w:cs="Arial"/>
          <w:sz w:val="20"/>
          <w:lang w:eastAsia="en-GB"/>
        </w:rPr>
        <w:t xml:space="preserve">he </w:t>
      </w:r>
      <w:r w:rsidR="00771558" w:rsidRPr="00CA1255">
        <w:rPr>
          <w:rFonts w:eastAsia="Calibri" w:cs="Arial"/>
          <w:sz w:val="20"/>
          <w:lang w:eastAsia="en-GB"/>
        </w:rPr>
        <w:t>DC section follow</w:t>
      </w:r>
      <w:r>
        <w:rPr>
          <w:rFonts w:eastAsia="Calibri" w:cs="Arial"/>
          <w:sz w:val="20"/>
          <w:lang w:eastAsia="en-GB"/>
        </w:rPr>
        <w:t>ed</w:t>
      </w:r>
      <w:r w:rsidR="00771558" w:rsidRPr="00CA1255">
        <w:rPr>
          <w:rFonts w:eastAsia="Calibri" w:cs="Arial"/>
          <w:sz w:val="20"/>
          <w:lang w:eastAsia="en-GB"/>
        </w:rPr>
        <w:t xml:space="preserve"> the same investment strategy as that adopted by</w:t>
      </w:r>
      <w:r w:rsidR="00400A25">
        <w:rPr>
          <w:rFonts w:eastAsia="Calibri" w:cs="Arial"/>
          <w:sz w:val="20"/>
          <w:lang w:eastAsia="en-GB"/>
        </w:rPr>
        <w:t xml:space="preserve"> the</w:t>
      </w:r>
      <w:r w:rsidR="00771558" w:rsidRPr="00CA1255">
        <w:rPr>
          <w:rFonts w:eastAsia="Calibri" w:cs="Arial"/>
          <w:sz w:val="20"/>
          <w:lang w:eastAsia="en-GB"/>
        </w:rPr>
        <w:t xml:space="preserve"> final salary s</w:t>
      </w:r>
      <w:r w:rsidR="00400A25">
        <w:rPr>
          <w:rFonts w:eastAsia="Calibri" w:cs="Arial"/>
          <w:sz w:val="20"/>
          <w:lang w:eastAsia="en-GB"/>
        </w:rPr>
        <w:t>ection</w:t>
      </w:r>
      <w:r w:rsidR="00771558" w:rsidRPr="00CA1255">
        <w:rPr>
          <w:rFonts w:eastAsia="Calibri" w:cs="Arial"/>
          <w:sz w:val="20"/>
          <w:lang w:eastAsia="en-GB"/>
        </w:rPr>
        <w:t xml:space="preserve"> which </w:t>
      </w:r>
      <w:r>
        <w:rPr>
          <w:rFonts w:eastAsia="Calibri" w:cs="Arial"/>
          <w:sz w:val="20"/>
          <w:lang w:eastAsia="en-GB"/>
        </w:rPr>
        <w:t>was</w:t>
      </w:r>
      <w:r w:rsidR="00771558" w:rsidRPr="00CA1255">
        <w:rPr>
          <w:rFonts w:eastAsia="Calibri" w:cs="Arial"/>
          <w:sz w:val="20"/>
          <w:lang w:eastAsia="en-GB"/>
        </w:rPr>
        <w:t xml:space="preserve"> set out in</w:t>
      </w:r>
      <w:r w:rsidR="00C36FFF">
        <w:rPr>
          <w:rFonts w:eastAsia="Calibri" w:cs="Arial"/>
          <w:sz w:val="20"/>
          <w:lang w:eastAsia="en-GB"/>
        </w:rPr>
        <w:t xml:space="preserve"> </w:t>
      </w:r>
      <w:r>
        <w:rPr>
          <w:rFonts w:eastAsia="Calibri" w:cs="Arial"/>
          <w:sz w:val="20"/>
          <w:lang w:eastAsia="en-GB"/>
        </w:rPr>
        <w:t xml:space="preserve">the previous Statement of Investment Principles, annexed to the 2023 Trustees’ report and accounts. </w:t>
      </w:r>
      <w:r w:rsidR="00771558" w:rsidRPr="00CA1255">
        <w:rPr>
          <w:rFonts w:eastAsia="Calibri" w:cs="Arial"/>
          <w:sz w:val="20"/>
          <w:lang w:eastAsia="en-GB"/>
        </w:rPr>
        <w:t xml:space="preserve">The investments held </w:t>
      </w:r>
      <w:r w:rsidR="00E064D9" w:rsidRPr="00CA1255">
        <w:rPr>
          <w:rFonts w:eastAsia="Calibri" w:cs="Arial"/>
          <w:sz w:val="20"/>
          <w:lang w:eastAsia="en-GB"/>
        </w:rPr>
        <w:t>meet the requirements</w:t>
      </w:r>
      <w:r w:rsidR="00D252CA" w:rsidRPr="00CA1255">
        <w:rPr>
          <w:rFonts w:eastAsia="Calibri" w:cs="Arial"/>
          <w:sz w:val="20"/>
          <w:lang w:eastAsia="en-GB"/>
        </w:rPr>
        <w:t xml:space="preserve"> </w:t>
      </w:r>
      <w:r w:rsidR="00E064D9" w:rsidRPr="00CA1255">
        <w:rPr>
          <w:rFonts w:eastAsia="Calibri" w:cs="Arial"/>
          <w:sz w:val="20"/>
          <w:lang w:eastAsia="en-GB"/>
        </w:rPr>
        <w:t xml:space="preserve">for social, environmental and ethical considerations </w:t>
      </w:r>
      <w:r w:rsidR="00F03C9B">
        <w:rPr>
          <w:rFonts w:eastAsia="Calibri" w:cs="Arial"/>
          <w:sz w:val="20"/>
          <w:lang w:eastAsia="en-GB"/>
        </w:rPr>
        <w:t xml:space="preserve">as </w:t>
      </w:r>
      <w:r w:rsidR="00E064D9" w:rsidRPr="00CA1255">
        <w:rPr>
          <w:rFonts w:eastAsia="Calibri" w:cs="Arial"/>
          <w:sz w:val="20"/>
          <w:lang w:eastAsia="en-GB"/>
        </w:rPr>
        <w:t xml:space="preserve">set out </w:t>
      </w:r>
      <w:r w:rsidR="00F6368E">
        <w:rPr>
          <w:rFonts w:eastAsia="Calibri" w:cs="Arial"/>
          <w:sz w:val="20"/>
          <w:lang w:eastAsia="en-GB"/>
        </w:rPr>
        <w:t>in</w:t>
      </w:r>
      <w:r w:rsidR="00E064D9" w:rsidRPr="00CA1255">
        <w:rPr>
          <w:rFonts w:eastAsia="Calibri" w:cs="Arial"/>
          <w:sz w:val="20"/>
          <w:lang w:eastAsia="en-GB"/>
        </w:rPr>
        <w:t xml:space="preserve"> the</w:t>
      </w:r>
      <w:r w:rsidR="00D252CA" w:rsidRPr="00CA1255">
        <w:rPr>
          <w:rFonts w:eastAsia="Calibri" w:cs="Arial"/>
          <w:sz w:val="20"/>
          <w:lang w:eastAsia="en-GB"/>
        </w:rPr>
        <w:t xml:space="preserve"> </w:t>
      </w:r>
      <w:r w:rsidR="00E064D9" w:rsidRPr="00CA1255">
        <w:rPr>
          <w:rFonts w:eastAsia="Calibri" w:cs="Arial"/>
          <w:sz w:val="20"/>
          <w:lang w:eastAsia="en-GB"/>
        </w:rPr>
        <w:t xml:space="preserve">Trustees’ </w:t>
      </w:r>
      <w:r w:rsidR="00C36FFF">
        <w:rPr>
          <w:rFonts w:eastAsia="Calibri" w:cs="Arial"/>
          <w:sz w:val="20"/>
          <w:lang w:eastAsia="en-GB"/>
        </w:rPr>
        <w:t>S</w:t>
      </w:r>
      <w:r w:rsidR="00E064D9" w:rsidRPr="00CA1255">
        <w:rPr>
          <w:rFonts w:eastAsia="Calibri" w:cs="Arial"/>
          <w:sz w:val="20"/>
          <w:lang w:eastAsia="en-GB"/>
        </w:rPr>
        <w:t xml:space="preserve">tatement of </w:t>
      </w:r>
      <w:r w:rsidR="00C36FFF">
        <w:rPr>
          <w:rFonts w:eastAsia="Calibri" w:cs="Arial"/>
          <w:sz w:val="20"/>
          <w:lang w:eastAsia="en-GB"/>
        </w:rPr>
        <w:t>I</w:t>
      </w:r>
      <w:r w:rsidR="00E064D9" w:rsidRPr="00CA1255">
        <w:rPr>
          <w:rFonts w:eastAsia="Calibri" w:cs="Arial"/>
          <w:sz w:val="20"/>
          <w:lang w:eastAsia="en-GB"/>
        </w:rPr>
        <w:t xml:space="preserve">nvestment </w:t>
      </w:r>
      <w:r w:rsidR="00C36FFF">
        <w:rPr>
          <w:rFonts w:eastAsia="Calibri" w:cs="Arial"/>
          <w:sz w:val="20"/>
          <w:lang w:eastAsia="en-GB"/>
        </w:rPr>
        <w:t>P</w:t>
      </w:r>
      <w:r w:rsidR="00E064D9" w:rsidRPr="00CA1255">
        <w:rPr>
          <w:rFonts w:eastAsia="Calibri" w:cs="Arial"/>
          <w:sz w:val="20"/>
          <w:lang w:eastAsia="en-GB"/>
        </w:rPr>
        <w:t xml:space="preserve">rinciples. </w:t>
      </w:r>
    </w:p>
    <w:p w14:paraId="3D632A4C" w14:textId="77777777" w:rsidR="00771558" w:rsidRPr="00CA1255" w:rsidRDefault="00771558" w:rsidP="00771558">
      <w:pPr>
        <w:autoSpaceDE w:val="0"/>
        <w:autoSpaceDN w:val="0"/>
        <w:adjustRightInd w:val="0"/>
        <w:jc w:val="both"/>
        <w:rPr>
          <w:rFonts w:eastAsia="Calibri" w:cs="Arial"/>
          <w:sz w:val="20"/>
          <w:lang w:eastAsia="en-GB"/>
        </w:rPr>
      </w:pPr>
    </w:p>
    <w:p w14:paraId="511ACA78" w14:textId="6887C325" w:rsidR="00A10FDF" w:rsidRDefault="00E064D9" w:rsidP="005A2A7A">
      <w:pPr>
        <w:autoSpaceDE w:val="0"/>
        <w:autoSpaceDN w:val="0"/>
        <w:adjustRightInd w:val="0"/>
        <w:jc w:val="both"/>
        <w:rPr>
          <w:rFonts w:eastAsia="Calibri" w:cs="Arial"/>
          <w:sz w:val="20"/>
          <w:lang w:eastAsia="en-GB"/>
        </w:rPr>
      </w:pPr>
      <w:r w:rsidRPr="00CA1255">
        <w:rPr>
          <w:rFonts w:eastAsia="Calibri" w:cs="Arial"/>
          <w:sz w:val="20"/>
          <w:lang w:eastAsia="en-GB"/>
        </w:rPr>
        <w:t xml:space="preserve">The </w:t>
      </w:r>
      <w:r w:rsidR="00D00DEA">
        <w:rPr>
          <w:rFonts w:eastAsia="Calibri" w:cs="Arial"/>
          <w:sz w:val="20"/>
          <w:lang w:eastAsia="en-GB"/>
        </w:rPr>
        <w:t xml:space="preserve">invested </w:t>
      </w:r>
      <w:r w:rsidRPr="00CA1255">
        <w:rPr>
          <w:rFonts w:eastAsia="Calibri" w:cs="Arial"/>
          <w:sz w:val="20"/>
          <w:lang w:eastAsia="en-GB"/>
        </w:rPr>
        <w:t xml:space="preserve">funds are managed </w:t>
      </w:r>
      <w:r w:rsidR="00821160" w:rsidRPr="00CA1255">
        <w:rPr>
          <w:rFonts w:eastAsia="Calibri" w:cs="Arial"/>
          <w:sz w:val="20"/>
          <w:lang w:eastAsia="en-GB"/>
        </w:rPr>
        <w:t>actively</w:t>
      </w:r>
      <w:r w:rsidR="00C36FFF">
        <w:rPr>
          <w:rFonts w:eastAsia="Calibri" w:cs="Arial"/>
          <w:sz w:val="20"/>
          <w:lang w:eastAsia="en-GB"/>
        </w:rPr>
        <w:t>. The Trustees</w:t>
      </w:r>
      <w:r w:rsidR="00043311">
        <w:rPr>
          <w:rFonts w:eastAsia="Calibri" w:cs="Arial"/>
          <w:sz w:val="20"/>
          <w:lang w:eastAsia="en-GB"/>
        </w:rPr>
        <w:t xml:space="preserve"> monitor the actual return achieved by the Scheme against a benchmark of the returns earned by comparable funds prepared by Asset Risk Consultants PCI in </w:t>
      </w:r>
      <w:r w:rsidR="00A10FDF">
        <w:rPr>
          <w:rFonts w:eastAsia="Calibri" w:cs="Arial"/>
          <w:sz w:val="20"/>
          <w:lang w:eastAsia="en-GB"/>
        </w:rPr>
        <w:t>meetings</w:t>
      </w:r>
      <w:r w:rsidR="00043311">
        <w:rPr>
          <w:rFonts w:eastAsia="Calibri" w:cs="Arial"/>
          <w:sz w:val="20"/>
          <w:lang w:eastAsia="en-GB"/>
        </w:rPr>
        <w:t xml:space="preserve"> with the Scheme’s investment advisers</w:t>
      </w:r>
      <w:r w:rsidR="009A49AA">
        <w:rPr>
          <w:rFonts w:eastAsia="Calibri" w:cs="Arial"/>
          <w:sz w:val="20"/>
          <w:lang w:eastAsia="en-GB"/>
        </w:rPr>
        <w:t xml:space="preserve"> which are held no less frequently than semi-annually</w:t>
      </w:r>
      <w:r w:rsidR="00AB7AF9">
        <w:rPr>
          <w:rFonts w:eastAsia="Calibri" w:cs="Arial"/>
          <w:sz w:val="20"/>
          <w:lang w:eastAsia="en-GB"/>
        </w:rPr>
        <w:t xml:space="preserve">. Meetings </w:t>
      </w:r>
      <w:r w:rsidR="00B277EB">
        <w:rPr>
          <w:rFonts w:eastAsia="Calibri" w:cs="Arial"/>
          <w:sz w:val="20"/>
          <w:lang w:eastAsia="en-GB"/>
        </w:rPr>
        <w:t xml:space="preserve">were </w:t>
      </w:r>
      <w:r w:rsidR="00A10FDF">
        <w:rPr>
          <w:rFonts w:eastAsia="Calibri" w:cs="Arial"/>
          <w:sz w:val="20"/>
          <w:lang w:eastAsia="en-GB"/>
        </w:rPr>
        <w:t>held in</w:t>
      </w:r>
      <w:r w:rsidR="00B277EB">
        <w:rPr>
          <w:rFonts w:eastAsia="Calibri" w:cs="Arial"/>
          <w:sz w:val="20"/>
          <w:lang w:eastAsia="en-GB"/>
        </w:rPr>
        <w:t xml:space="preserve"> </w:t>
      </w:r>
      <w:r w:rsidR="00832A0F">
        <w:rPr>
          <w:rFonts w:eastAsia="Calibri" w:cs="Arial"/>
          <w:sz w:val="20"/>
          <w:lang w:eastAsia="en-GB"/>
        </w:rPr>
        <w:t>March, May</w:t>
      </w:r>
      <w:r w:rsidR="00B277EB">
        <w:rPr>
          <w:rFonts w:eastAsia="Calibri" w:cs="Arial"/>
          <w:sz w:val="20"/>
          <w:lang w:eastAsia="en-GB"/>
        </w:rPr>
        <w:t xml:space="preserve"> and</w:t>
      </w:r>
      <w:r w:rsidR="00A10FDF">
        <w:rPr>
          <w:rFonts w:eastAsia="Calibri" w:cs="Arial"/>
          <w:sz w:val="20"/>
          <w:lang w:eastAsia="en-GB"/>
        </w:rPr>
        <w:t xml:space="preserve"> </w:t>
      </w:r>
      <w:r w:rsidR="00832A0F">
        <w:rPr>
          <w:rFonts w:eastAsia="Calibri" w:cs="Arial"/>
          <w:sz w:val="20"/>
          <w:lang w:eastAsia="en-GB"/>
        </w:rPr>
        <w:t>Octo</w:t>
      </w:r>
      <w:r w:rsidR="007B07A5">
        <w:rPr>
          <w:rFonts w:eastAsia="Calibri" w:cs="Arial"/>
          <w:sz w:val="20"/>
          <w:lang w:eastAsia="en-GB"/>
        </w:rPr>
        <w:t xml:space="preserve">ber </w:t>
      </w:r>
      <w:r w:rsidR="00A10FDF">
        <w:rPr>
          <w:rFonts w:eastAsia="Calibri" w:cs="Arial"/>
          <w:sz w:val="20"/>
          <w:lang w:eastAsia="en-GB"/>
        </w:rPr>
        <w:t>20</w:t>
      </w:r>
      <w:r w:rsidR="007B07A5">
        <w:rPr>
          <w:rFonts w:eastAsia="Calibri" w:cs="Arial"/>
          <w:sz w:val="20"/>
          <w:lang w:eastAsia="en-GB"/>
        </w:rPr>
        <w:t>2</w:t>
      </w:r>
      <w:r w:rsidR="00832A0F">
        <w:rPr>
          <w:rFonts w:eastAsia="Calibri" w:cs="Arial"/>
          <w:sz w:val="20"/>
          <w:lang w:eastAsia="en-GB"/>
        </w:rPr>
        <w:t>3</w:t>
      </w:r>
      <w:r w:rsidR="00AB7AF9">
        <w:rPr>
          <w:rFonts w:eastAsia="Calibri" w:cs="Arial"/>
          <w:sz w:val="20"/>
          <w:lang w:eastAsia="en-GB"/>
        </w:rPr>
        <w:t>, as well as</w:t>
      </w:r>
      <w:r w:rsidR="00F3729A">
        <w:rPr>
          <w:rFonts w:eastAsia="Calibri" w:cs="Arial"/>
          <w:sz w:val="20"/>
          <w:lang w:eastAsia="en-GB"/>
        </w:rPr>
        <w:t xml:space="preserve"> March</w:t>
      </w:r>
      <w:r w:rsidR="00716963">
        <w:rPr>
          <w:rFonts w:eastAsia="Calibri" w:cs="Arial"/>
          <w:sz w:val="20"/>
          <w:lang w:eastAsia="en-GB"/>
        </w:rPr>
        <w:t xml:space="preserve"> 202</w:t>
      </w:r>
      <w:r w:rsidR="00832A0F">
        <w:rPr>
          <w:rFonts w:eastAsia="Calibri" w:cs="Arial"/>
          <w:sz w:val="20"/>
          <w:lang w:eastAsia="en-GB"/>
        </w:rPr>
        <w:t>4</w:t>
      </w:r>
      <w:r w:rsidRPr="00CA1255">
        <w:rPr>
          <w:rFonts w:eastAsia="Calibri" w:cs="Arial"/>
          <w:sz w:val="20"/>
          <w:lang w:eastAsia="en-GB"/>
        </w:rPr>
        <w:t>.</w:t>
      </w:r>
    </w:p>
    <w:p w14:paraId="3483E137" w14:textId="77777777" w:rsidR="00A10FDF" w:rsidRDefault="00A10FDF" w:rsidP="005A2A7A">
      <w:pPr>
        <w:autoSpaceDE w:val="0"/>
        <w:autoSpaceDN w:val="0"/>
        <w:adjustRightInd w:val="0"/>
        <w:jc w:val="both"/>
        <w:rPr>
          <w:rFonts w:eastAsia="Calibri" w:cs="Arial"/>
          <w:sz w:val="20"/>
          <w:lang w:eastAsia="en-GB"/>
        </w:rPr>
      </w:pPr>
    </w:p>
    <w:p w14:paraId="1B8A77D6" w14:textId="0510536E" w:rsidR="00BC2491" w:rsidRDefault="00ED28D2" w:rsidP="00BC2491">
      <w:pPr>
        <w:autoSpaceDE w:val="0"/>
        <w:autoSpaceDN w:val="0"/>
        <w:adjustRightInd w:val="0"/>
        <w:jc w:val="both"/>
        <w:rPr>
          <w:rFonts w:eastAsia="Calibri" w:cs="Arial"/>
          <w:sz w:val="20"/>
          <w:lang w:eastAsia="en-GB"/>
        </w:rPr>
      </w:pPr>
      <w:r>
        <w:rPr>
          <w:rFonts w:eastAsia="Calibri" w:cs="Arial"/>
          <w:sz w:val="20"/>
          <w:lang w:eastAsia="en-GB"/>
        </w:rPr>
        <w:t xml:space="preserve">The targeted investment return </w:t>
      </w:r>
      <w:r w:rsidR="00832A0F">
        <w:rPr>
          <w:rFonts w:eastAsia="Calibri" w:cs="Arial"/>
          <w:sz w:val="20"/>
          <w:lang w:eastAsia="en-GB"/>
        </w:rPr>
        <w:t>for the DC section is 3-4% pa above inflation while the target f</w:t>
      </w:r>
      <w:r w:rsidR="005A6D81">
        <w:rPr>
          <w:rFonts w:eastAsia="Calibri" w:cs="Arial"/>
          <w:sz w:val="20"/>
          <w:lang w:eastAsia="en-GB"/>
        </w:rPr>
        <w:t>or</w:t>
      </w:r>
      <w:r w:rsidR="00832A0F">
        <w:rPr>
          <w:rFonts w:eastAsia="Calibri" w:cs="Arial"/>
          <w:sz w:val="20"/>
          <w:lang w:eastAsia="en-GB"/>
        </w:rPr>
        <w:t xml:space="preserve"> the rem</w:t>
      </w:r>
      <w:r w:rsidR="005A6D81">
        <w:rPr>
          <w:rFonts w:eastAsia="Calibri" w:cs="Arial"/>
          <w:sz w:val="20"/>
          <w:lang w:eastAsia="en-GB"/>
        </w:rPr>
        <w:t>ain</w:t>
      </w:r>
      <w:r w:rsidR="00832A0F">
        <w:rPr>
          <w:rFonts w:eastAsia="Calibri" w:cs="Arial"/>
          <w:sz w:val="20"/>
          <w:lang w:eastAsia="en-GB"/>
        </w:rPr>
        <w:t xml:space="preserve">ing funds is gilts plus 1% </w:t>
      </w:r>
      <w:r w:rsidR="005A6D81">
        <w:rPr>
          <w:rFonts w:eastAsia="Calibri" w:cs="Arial"/>
          <w:sz w:val="20"/>
          <w:lang w:eastAsia="en-GB"/>
        </w:rPr>
        <w:t>pa.</w:t>
      </w:r>
      <w:r>
        <w:rPr>
          <w:rFonts w:eastAsia="Calibri" w:cs="Arial"/>
          <w:sz w:val="20"/>
          <w:lang w:eastAsia="en-GB"/>
        </w:rPr>
        <w:t xml:space="preserve"> </w:t>
      </w:r>
    </w:p>
    <w:p w14:paraId="5E82C54D" w14:textId="77777777" w:rsidR="005A6D81" w:rsidRDefault="005A6D81" w:rsidP="00F3729A">
      <w:pPr>
        <w:autoSpaceDE w:val="0"/>
        <w:autoSpaceDN w:val="0"/>
        <w:adjustRightInd w:val="0"/>
        <w:jc w:val="both"/>
        <w:rPr>
          <w:rFonts w:eastAsia="Calibri" w:cs="Arial"/>
          <w:sz w:val="20"/>
          <w:lang w:eastAsia="en-GB"/>
        </w:rPr>
      </w:pPr>
    </w:p>
    <w:p w14:paraId="27BABC97" w14:textId="7BBBE72A" w:rsidR="009A49AA" w:rsidRPr="009A49AA" w:rsidRDefault="009A49AA" w:rsidP="009A49AA">
      <w:pPr>
        <w:autoSpaceDE w:val="0"/>
        <w:autoSpaceDN w:val="0"/>
        <w:adjustRightInd w:val="0"/>
        <w:jc w:val="both"/>
        <w:rPr>
          <w:rFonts w:eastAsia="Calibri" w:cs="Arial"/>
          <w:sz w:val="20"/>
          <w:lang w:eastAsia="en-GB"/>
        </w:rPr>
      </w:pPr>
      <w:r>
        <w:rPr>
          <w:rFonts w:eastAsia="Calibri" w:cs="Arial"/>
          <w:sz w:val="20"/>
          <w:lang w:eastAsia="en-GB"/>
        </w:rPr>
        <w:t>In order to secure the buy-in contract, the Trustees divested funds from 6 of the eight funds previously held by the Scheme, being those funds which held mainly or wholly fixed interest securities.</w:t>
      </w:r>
    </w:p>
    <w:p w14:paraId="480AF4F4" w14:textId="77777777" w:rsidR="009A49AA" w:rsidRDefault="009A49AA" w:rsidP="00F3729A">
      <w:pPr>
        <w:autoSpaceDE w:val="0"/>
        <w:autoSpaceDN w:val="0"/>
        <w:adjustRightInd w:val="0"/>
        <w:jc w:val="both"/>
        <w:rPr>
          <w:rFonts w:eastAsia="Calibri" w:cs="Arial"/>
          <w:sz w:val="20"/>
          <w:lang w:eastAsia="en-GB"/>
        </w:rPr>
      </w:pPr>
    </w:p>
    <w:p w14:paraId="5F32026E" w14:textId="1CB50F62" w:rsidR="00F3729A" w:rsidRPr="00F3729A" w:rsidRDefault="005A6D81" w:rsidP="00F3729A">
      <w:pPr>
        <w:autoSpaceDE w:val="0"/>
        <w:autoSpaceDN w:val="0"/>
        <w:adjustRightInd w:val="0"/>
        <w:jc w:val="both"/>
        <w:rPr>
          <w:rFonts w:eastAsia="Calibri" w:cs="Arial"/>
          <w:sz w:val="20"/>
          <w:lang w:eastAsia="en-GB"/>
        </w:rPr>
      </w:pPr>
      <w:r>
        <w:rPr>
          <w:rFonts w:eastAsia="Calibri" w:cs="Arial"/>
          <w:sz w:val="20"/>
          <w:lang w:eastAsia="en-GB"/>
        </w:rPr>
        <w:t>Investment</w:t>
      </w:r>
      <w:r w:rsidR="009A49AA">
        <w:rPr>
          <w:rFonts w:eastAsia="Calibri" w:cs="Arial"/>
          <w:sz w:val="20"/>
          <w:lang w:eastAsia="en-GB"/>
        </w:rPr>
        <w:t>s</w:t>
      </w:r>
      <w:r>
        <w:rPr>
          <w:rFonts w:eastAsia="Calibri" w:cs="Arial"/>
          <w:sz w:val="20"/>
          <w:lang w:eastAsia="en-GB"/>
        </w:rPr>
        <w:t xml:space="preserve"> were made in two new funds to create the DC section, adding to the range of investment managers. The </w:t>
      </w:r>
      <w:r w:rsidRPr="005A6D81">
        <w:rPr>
          <w:rFonts w:eastAsia="Calibri" w:cs="Arial"/>
          <w:sz w:val="20"/>
          <w:lang w:eastAsia="en-GB"/>
        </w:rPr>
        <w:t xml:space="preserve">Gilts Fund in which the Scheme was invested </w:t>
      </w:r>
      <w:r>
        <w:rPr>
          <w:rFonts w:eastAsia="Calibri" w:cs="Arial"/>
          <w:sz w:val="20"/>
          <w:lang w:eastAsia="en-GB"/>
        </w:rPr>
        <w:t>adopted</w:t>
      </w:r>
      <w:r w:rsidRPr="005A6D81">
        <w:rPr>
          <w:rFonts w:eastAsia="Calibri" w:cs="Arial"/>
          <w:sz w:val="20"/>
          <w:lang w:eastAsia="en-GB"/>
        </w:rPr>
        <w:t xml:space="preserve"> a global, not just a UK focus and </w:t>
      </w:r>
      <w:r>
        <w:rPr>
          <w:rFonts w:eastAsia="Calibri" w:cs="Arial"/>
          <w:sz w:val="20"/>
          <w:lang w:eastAsia="en-GB"/>
        </w:rPr>
        <w:t>m</w:t>
      </w:r>
      <w:r w:rsidRPr="005A6D81">
        <w:rPr>
          <w:rFonts w:eastAsia="Calibri" w:cs="Arial"/>
          <w:sz w:val="20"/>
          <w:lang w:eastAsia="en-GB"/>
        </w:rPr>
        <w:t xml:space="preserve">anagers </w:t>
      </w:r>
      <w:r>
        <w:rPr>
          <w:rFonts w:eastAsia="Calibri" w:cs="Arial"/>
          <w:sz w:val="20"/>
          <w:lang w:eastAsia="en-GB"/>
        </w:rPr>
        <w:t>were</w:t>
      </w:r>
      <w:r w:rsidRPr="005A6D81">
        <w:rPr>
          <w:rFonts w:eastAsia="Calibri" w:cs="Arial"/>
          <w:sz w:val="20"/>
          <w:lang w:eastAsia="en-GB"/>
        </w:rPr>
        <w:t xml:space="preserve"> added to the fund as a result.</w:t>
      </w:r>
      <w:r>
        <w:rPr>
          <w:rFonts w:eastAsia="Calibri" w:cs="Arial"/>
          <w:sz w:val="20"/>
          <w:lang w:eastAsia="en-GB"/>
        </w:rPr>
        <w:t xml:space="preserve"> With these exceptions, t</w:t>
      </w:r>
      <w:r w:rsidR="000A2606">
        <w:rPr>
          <w:rFonts w:eastAsia="Calibri" w:cs="Arial"/>
          <w:sz w:val="20"/>
          <w:lang w:eastAsia="en-GB"/>
        </w:rPr>
        <w:t xml:space="preserve">here </w:t>
      </w:r>
      <w:r w:rsidR="009A49AA">
        <w:rPr>
          <w:rFonts w:eastAsia="Calibri" w:cs="Arial"/>
          <w:sz w:val="20"/>
          <w:lang w:eastAsia="en-GB"/>
        </w:rPr>
        <w:t>were</w:t>
      </w:r>
      <w:r w:rsidR="00F3729A">
        <w:rPr>
          <w:rFonts w:eastAsia="Calibri" w:cs="Arial"/>
          <w:sz w:val="20"/>
          <w:lang w:eastAsia="en-GB"/>
        </w:rPr>
        <w:t xml:space="preserve"> no changes in the</w:t>
      </w:r>
      <w:r w:rsidR="000A2606">
        <w:rPr>
          <w:rFonts w:eastAsia="Calibri" w:cs="Arial"/>
          <w:sz w:val="20"/>
          <w:lang w:eastAsia="en-GB"/>
        </w:rPr>
        <w:t xml:space="preserve"> asset managers </w:t>
      </w:r>
      <w:r w:rsidR="00F3729A">
        <w:rPr>
          <w:rFonts w:eastAsia="Calibri" w:cs="Arial"/>
          <w:sz w:val="20"/>
          <w:lang w:eastAsia="en-GB"/>
        </w:rPr>
        <w:t>during the year.</w:t>
      </w:r>
    </w:p>
    <w:p w14:paraId="48C7971A" w14:textId="77777777" w:rsidR="00F3729A" w:rsidRDefault="00F3729A" w:rsidP="00771558">
      <w:pPr>
        <w:autoSpaceDE w:val="0"/>
        <w:autoSpaceDN w:val="0"/>
        <w:adjustRightInd w:val="0"/>
        <w:jc w:val="both"/>
        <w:rPr>
          <w:rFonts w:eastAsia="Calibri" w:cs="Arial"/>
          <w:sz w:val="20"/>
          <w:lang w:eastAsia="en-GB"/>
        </w:rPr>
      </w:pPr>
    </w:p>
    <w:p w14:paraId="2FFE1B55" w14:textId="11470C96" w:rsidR="00E064D9" w:rsidRPr="00CA1255" w:rsidRDefault="00E064D9" w:rsidP="00771558">
      <w:pPr>
        <w:autoSpaceDE w:val="0"/>
        <w:autoSpaceDN w:val="0"/>
        <w:adjustRightInd w:val="0"/>
        <w:jc w:val="both"/>
        <w:rPr>
          <w:rFonts w:eastAsia="Calibri" w:cs="Arial"/>
          <w:sz w:val="20"/>
          <w:lang w:eastAsia="en-GB"/>
        </w:rPr>
      </w:pPr>
      <w:r w:rsidRPr="00CA1255">
        <w:rPr>
          <w:rFonts w:eastAsia="Calibri" w:cs="Arial"/>
          <w:sz w:val="20"/>
          <w:lang w:eastAsia="en-GB"/>
        </w:rPr>
        <w:t xml:space="preserve">By investing in this manner, the Trustees expect to </w:t>
      </w:r>
      <w:r w:rsidR="00637E19">
        <w:rPr>
          <w:rFonts w:eastAsia="Calibri" w:cs="Arial"/>
          <w:sz w:val="20"/>
          <w:lang w:eastAsia="en-GB"/>
        </w:rPr>
        <w:t xml:space="preserve">maintain the funding level within the scheme as they seek to achieve a buy-in or buy-out of the Scheme’s </w:t>
      </w:r>
      <w:r w:rsidR="009A49AA">
        <w:rPr>
          <w:rFonts w:eastAsia="Calibri" w:cs="Arial"/>
          <w:sz w:val="20"/>
          <w:lang w:eastAsia="en-GB"/>
        </w:rPr>
        <w:t xml:space="preserve">remaining </w:t>
      </w:r>
      <w:r w:rsidR="00637E19">
        <w:rPr>
          <w:rFonts w:eastAsia="Calibri" w:cs="Arial"/>
          <w:sz w:val="20"/>
          <w:lang w:eastAsia="en-GB"/>
        </w:rPr>
        <w:t>liabilities</w:t>
      </w:r>
      <w:r w:rsidRPr="00CA1255">
        <w:rPr>
          <w:rFonts w:eastAsia="Calibri" w:cs="Arial"/>
          <w:sz w:val="20"/>
          <w:lang w:eastAsia="en-GB"/>
        </w:rPr>
        <w:t>. The Trustees consider this approach to be</w:t>
      </w:r>
      <w:r w:rsidR="00771558" w:rsidRPr="00CA1255">
        <w:rPr>
          <w:rFonts w:eastAsia="Calibri" w:cs="Arial"/>
          <w:sz w:val="20"/>
          <w:lang w:eastAsia="en-GB"/>
        </w:rPr>
        <w:t xml:space="preserve"> </w:t>
      </w:r>
      <w:r w:rsidRPr="00CA1255">
        <w:rPr>
          <w:rFonts w:eastAsia="Calibri" w:cs="Arial"/>
          <w:sz w:val="20"/>
          <w:lang w:eastAsia="en-GB"/>
        </w:rPr>
        <w:t>in the best interests of relevant members and relevant beneficiaries.</w:t>
      </w:r>
    </w:p>
    <w:p w14:paraId="426B5409" w14:textId="77777777" w:rsidR="00771558" w:rsidRPr="00CA1255" w:rsidRDefault="00771558" w:rsidP="00771558">
      <w:pPr>
        <w:autoSpaceDE w:val="0"/>
        <w:autoSpaceDN w:val="0"/>
        <w:adjustRightInd w:val="0"/>
        <w:jc w:val="both"/>
        <w:rPr>
          <w:rFonts w:eastAsia="Calibri" w:cs="Arial"/>
          <w:sz w:val="20"/>
          <w:lang w:eastAsia="en-GB"/>
        </w:rPr>
      </w:pPr>
    </w:p>
    <w:p w14:paraId="2A83B40A" w14:textId="77777777" w:rsidR="00E064D9" w:rsidRPr="00CA1255" w:rsidRDefault="00E064D9" w:rsidP="00771558">
      <w:pPr>
        <w:autoSpaceDE w:val="0"/>
        <w:autoSpaceDN w:val="0"/>
        <w:adjustRightInd w:val="0"/>
        <w:jc w:val="both"/>
        <w:rPr>
          <w:rFonts w:eastAsia="Calibri" w:cs="Arial"/>
          <w:b/>
          <w:bCs/>
          <w:sz w:val="22"/>
          <w:szCs w:val="22"/>
          <w:lang w:eastAsia="en-GB"/>
        </w:rPr>
      </w:pPr>
      <w:r w:rsidRPr="00CA1255">
        <w:rPr>
          <w:rFonts w:eastAsia="Calibri" w:cs="Arial"/>
          <w:b/>
          <w:bCs/>
          <w:sz w:val="22"/>
          <w:szCs w:val="22"/>
          <w:lang w:eastAsia="en-GB"/>
        </w:rPr>
        <w:t>Processing scheme transactions</w:t>
      </w:r>
    </w:p>
    <w:p w14:paraId="199EA426" w14:textId="77777777" w:rsidR="00771558" w:rsidRPr="00CA1255" w:rsidRDefault="00771558" w:rsidP="00771558">
      <w:pPr>
        <w:autoSpaceDE w:val="0"/>
        <w:autoSpaceDN w:val="0"/>
        <w:adjustRightInd w:val="0"/>
        <w:jc w:val="both"/>
        <w:rPr>
          <w:rFonts w:eastAsia="Calibri" w:cs="Arial"/>
          <w:sz w:val="20"/>
          <w:lang w:eastAsia="en-GB"/>
        </w:rPr>
      </w:pPr>
    </w:p>
    <w:p w14:paraId="760C0857" w14:textId="234DA666" w:rsidR="00E064D9" w:rsidRPr="00CA1255" w:rsidRDefault="00E064D9" w:rsidP="00771558">
      <w:pPr>
        <w:autoSpaceDE w:val="0"/>
        <w:autoSpaceDN w:val="0"/>
        <w:adjustRightInd w:val="0"/>
        <w:jc w:val="both"/>
        <w:rPr>
          <w:rFonts w:eastAsia="Calibri" w:cs="Arial"/>
          <w:sz w:val="20"/>
          <w:lang w:eastAsia="en-GB"/>
        </w:rPr>
      </w:pPr>
      <w:r w:rsidRPr="00CA1255">
        <w:rPr>
          <w:rFonts w:eastAsia="Calibri" w:cs="Arial"/>
          <w:sz w:val="20"/>
          <w:lang w:eastAsia="en-GB"/>
        </w:rPr>
        <w:t xml:space="preserve">The Trustees have a specific duty to </w:t>
      </w:r>
      <w:r w:rsidR="00AB7AF9">
        <w:rPr>
          <w:rFonts w:eastAsia="Calibri" w:cs="Arial"/>
          <w:sz w:val="20"/>
          <w:lang w:eastAsia="en-GB"/>
        </w:rPr>
        <w:t>ensure</w:t>
      </w:r>
      <w:r w:rsidR="00AB7AF9" w:rsidRPr="00CA1255">
        <w:rPr>
          <w:rFonts w:eastAsia="Calibri" w:cs="Arial"/>
          <w:sz w:val="20"/>
          <w:lang w:eastAsia="en-GB"/>
        </w:rPr>
        <w:t xml:space="preserve"> </w:t>
      </w:r>
      <w:r w:rsidRPr="00CA1255">
        <w:rPr>
          <w:rFonts w:eastAsia="Calibri" w:cs="Arial"/>
          <w:sz w:val="20"/>
          <w:lang w:eastAsia="en-GB"/>
        </w:rPr>
        <w:t>that core financial transactions (including</w:t>
      </w:r>
      <w:r w:rsidR="00771558" w:rsidRPr="00CA1255">
        <w:rPr>
          <w:rFonts w:eastAsia="Calibri" w:cs="Arial"/>
          <w:sz w:val="20"/>
          <w:lang w:eastAsia="en-GB"/>
        </w:rPr>
        <w:t xml:space="preserve"> </w:t>
      </w:r>
      <w:r w:rsidRPr="00CA1255">
        <w:rPr>
          <w:rFonts w:eastAsia="Calibri" w:cs="Arial"/>
          <w:sz w:val="20"/>
          <w:lang w:eastAsia="en-GB"/>
        </w:rPr>
        <w:t>the investment of contributions, transfer of member assets into and out of the Scheme,</w:t>
      </w:r>
      <w:r w:rsidR="00771558" w:rsidRPr="00CA1255">
        <w:rPr>
          <w:rFonts w:eastAsia="Calibri" w:cs="Arial"/>
          <w:sz w:val="20"/>
          <w:lang w:eastAsia="en-GB"/>
        </w:rPr>
        <w:t xml:space="preserve"> </w:t>
      </w:r>
      <w:r w:rsidRPr="00CA1255">
        <w:rPr>
          <w:rFonts w:eastAsia="Calibri" w:cs="Arial"/>
          <w:sz w:val="20"/>
          <w:lang w:eastAsia="en-GB"/>
        </w:rPr>
        <w:t>transfers between different investments within the Scheme and payments to and in</w:t>
      </w:r>
      <w:r w:rsidR="00771558" w:rsidRPr="00CA1255">
        <w:rPr>
          <w:rFonts w:eastAsia="Calibri" w:cs="Arial"/>
          <w:sz w:val="20"/>
          <w:lang w:eastAsia="en-GB"/>
        </w:rPr>
        <w:t xml:space="preserve"> </w:t>
      </w:r>
      <w:r w:rsidRPr="00CA1255">
        <w:rPr>
          <w:rFonts w:eastAsia="Calibri" w:cs="Arial"/>
          <w:sz w:val="20"/>
          <w:lang w:eastAsia="en-GB"/>
        </w:rPr>
        <w:t>respect of members) relating to the DC section are processed promptly and accurately.</w:t>
      </w:r>
    </w:p>
    <w:p w14:paraId="46A8D6D5" w14:textId="77777777" w:rsidR="00771558" w:rsidRPr="00CA1255" w:rsidRDefault="00771558" w:rsidP="00771558">
      <w:pPr>
        <w:autoSpaceDE w:val="0"/>
        <w:autoSpaceDN w:val="0"/>
        <w:adjustRightInd w:val="0"/>
        <w:jc w:val="both"/>
        <w:rPr>
          <w:rFonts w:eastAsia="Calibri" w:cs="Arial"/>
          <w:sz w:val="20"/>
          <w:lang w:eastAsia="en-GB"/>
        </w:rPr>
      </w:pPr>
    </w:p>
    <w:p w14:paraId="43112111" w14:textId="0DA5DD9E" w:rsidR="00A742BE" w:rsidRPr="004B1924" w:rsidRDefault="00E064D9" w:rsidP="004B1924">
      <w:pPr>
        <w:autoSpaceDE w:val="0"/>
        <w:autoSpaceDN w:val="0"/>
        <w:adjustRightInd w:val="0"/>
        <w:jc w:val="both"/>
        <w:rPr>
          <w:rFonts w:eastAsia="Calibri" w:cs="Arial"/>
          <w:sz w:val="20"/>
          <w:lang w:eastAsia="en-GB"/>
        </w:rPr>
      </w:pPr>
      <w:r w:rsidRPr="00CA1255">
        <w:rPr>
          <w:rFonts w:eastAsia="Calibri" w:cs="Arial"/>
          <w:sz w:val="20"/>
          <w:lang w:eastAsia="en-GB"/>
        </w:rPr>
        <w:t>These transactions are undertaken on the Trustees</w:t>
      </w:r>
      <w:r w:rsidR="002F7CED">
        <w:rPr>
          <w:rFonts w:eastAsia="Calibri" w:cs="Arial"/>
          <w:sz w:val="20"/>
          <w:lang w:eastAsia="en-GB"/>
        </w:rPr>
        <w:t>’</w:t>
      </w:r>
      <w:r w:rsidRPr="00CA1255">
        <w:rPr>
          <w:rFonts w:eastAsia="Calibri" w:cs="Arial"/>
          <w:sz w:val="20"/>
          <w:lang w:eastAsia="en-GB"/>
        </w:rPr>
        <w:t xml:space="preserve"> behalf by the Scheme administrator,</w:t>
      </w:r>
      <w:r w:rsidR="00771558" w:rsidRPr="00CA1255">
        <w:rPr>
          <w:rFonts w:eastAsia="Calibri" w:cs="Arial"/>
          <w:sz w:val="20"/>
          <w:lang w:eastAsia="en-GB"/>
        </w:rPr>
        <w:t xml:space="preserve"> Atkin </w:t>
      </w:r>
      <w:r w:rsidR="00BC1CAF">
        <w:rPr>
          <w:rFonts w:eastAsia="Calibri" w:cs="Arial"/>
          <w:sz w:val="20"/>
          <w:lang w:eastAsia="en-GB"/>
        </w:rPr>
        <w:t>Pensions</w:t>
      </w:r>
      <w:r w:rsidR="00771558" w:rsidRPr="00CA1255">
        <w:rPr>
          <w:rFonts w:eastAsia="Calibri" w:cs="Arial"/>
          <w:sz w:val="20"/>
          <w:lang w:eastAsia="en-GB"/>
        </w:rPr>
        <w:t xml:space="preserve">, the Sponsoring Employer, Pertwee </w:t>
      </w:r>
      <w:r w:rsidR="002D3884">
        <w:rPr>
          <w:rFonts w:eastAsia="Calibri" w:cs="Arial"/>
          <w:sz w:val="20"/>
          <w:lang w:eastAsia="en-GB"/>
        </w:rPr>
        <w:t>Estates</w:t>
      </w:r>
      <w:r w:rsidR="00771558" w:rsidRPr="00CA1255">
        <w:rPr>
          <w:rFonts w:eastAsia="Calibri" w:cs="Arial"/>
          <w:sz w:val="20"/>
          <w:lang w:eastAsia="en-GB"/>
        </w:rPr>
        <w:t xml:space="preserve"> Limited,</w:t>
      </w:r>
      <w:r w:rsidRPr="00CA1255">
        <w:rPr>
          <w:rFonts w:eastAsia="Calibri" w:cs="Arial"/>
          <w:sz w:val="20"/>
          <w:lang w:eastAsia="en-GB"/>
        </w:rPr>
        <w:t xml:space="preserve"> and </w:t>
      </w:r>
      <w:r w:rsidR="00022DF6">
        <w:rPr>
          <w:rFonts w:eastAsia="Calibri" w:cs="Arial"/>
          <w:sz w:val="20"/>
          <w:lang w:eastAsia="en-GB"/>
        </w:rPr>
        <w:t>the Scheme’s</w:t>
      </w:r>
      <w:r w:rsidR="00022DF6" w:rsidRPr="00CA1255">
        <w:rPr>
          <w:rFonts w:eastAsia="Calibri" w:cs="Arial"/>
          <w:sz w:val="20"/>
          <w:lang w:eastAsia="en-GB"/>
        </w:rPr>
        <w:t xml:space="preserve"> </w:t>
      </w:r>
      <w:r w:rsidRPr="00CA1255">
        <w:rPr>
          <w:rFonts w:eastAsia="Calibri" w:cs="Arial"/>
          <w:sz w:val="20"/>
          <w:lang w:eastAsia="en-GB"/>
        </w:rPr>
        <w:t>investment manager</w:t>
      </w:r>
      <w:r w:rsidR="00D252CA" w:rsidRPr="00CA1255">
        <w:rPr>
          <w:rFonts w:eastAsia="Calibri" w:cs="Arial"/>
          <w:sz w:val="20"/>
          <w:lang w:eastAsia="en-GB"/>
        </w:rPr>
        <w:t>,</w:t>
      </w:r>
      <w:r w:rsidRPr="00CA1255">
        <w:rPr>
          <w:rFonts w:eastAsia="Calibri" w:cs="Arial"/>
          <w:sz w:val="20"/>
          <w:lang w:eastAsia="en-GB"/>
        </w:rPr>
        <w:t xml:space="preserve"> S</w:t>
      </w:r>
      <w:r w:rsidR="00D252CA" w:rsidRPr="00CA1255">
        <w:rPr>
          <w:rFonts w:eastAsia="Calibri" w:cs="Arial"/>
          <w:sz w:val="20"/>
          <w:lang w:eastAsia="en-GB"/>
        </w:rPr>
        <w:t>t James</w:t>
      </w:r>
      <w:r w:rsidR="00147B99">
        <w:rPr>
          <w:rFonts w:eastAsia="Calibri" w:cs="Arial"/>
          <w:sz w:val="20"/>
          <w:lang w:eastAsia="en-GB"/>
        </w:rPr>
        <w:t>’s</w:t>
      </w:r>
      <w:r w:rsidR="00D252CA" w:rsidRPr="00CA1255">
        <w:rPr>
          <w:rFonts w:eastAsia="Calibri" w:cs="Arial"/>
          <w:sz w:val="20"/>
          <w:lang w:eastAsia="en-GB"/>
        </w:rPr>
        <w:t xml:space="preserve"> Place</w:t>
      </w:r>
      <w:r w:rsidRPr="00CA1255">
        <w:rPr>
          <w:rFonts w:eastAsia="Calibri" w:cs="Arial"/>
          <w:sz w:val="20"/>
          <w:lang w:eastAsia="en-GB"/>
        </w:rPr>
        <w:t>.</w:t>
      </w:r>
      <w:r w:rsidR="00B27603">
        <w:rPr>
          <w:rFonts w:eastAsia="Calibri" w:cs="Arial"/>
          <w:sz w:val="20"/>
          <w:lang w:eastAsia="en-GB"/>
        </w:rPr>
        <w:t xml:space="preserve"> Contractual agreements are in place with Atkin </w:t>
      </w:r>
      <w:r w:rsidR="00BC1CAF">
        <w:rPr>
          <w:rFonts w:eastAsia="Calibri" w:cs="Arial"/>
          <w:sz w:val="20"/>
          <w:lang w:eastAsia="en-GB"/>
        </w:rPr>
        <w:t>Pensions</w:t>
      </w:r>
      <w:r w:rsidR="00B27603">
        <w:rPr>
          <w:rFonts w:eastAsia="Calibri" w:cs="Arial"/>
          <w:sz w:val="20"/>
          <w:lang w:eastAsia="en-GB"/>
        </w:rPr>
        <w:t xml:space="preserve"> and St James</w:t>
      </w:r>
      <w:r w:rsidR="00147B99">
        <w:rPr>
          <w:rFonts w:eastAsia="Calibri" w:cs="Arial"/>
          <w:sz w:val="20"/>
          <w:lang w:eastAsia="en-GB"/>
        </w:rPr>
        <w:t>’s</w:t>
      </w:r>
      <w:r w:rsidR="00B27603">
        <w:rPr>
          <w:rFonts w:eastAsia="Calibri" w:cs="Arial"/>
          <w:sz w:val="20"/>
          <w:lang w:eastAsia="en-GB"/>
        </w:rPr>
        <w:t xml:space="preserve"> Place setting out their respective obligations under these arrangements.</w:t>
      </w:r>
      <w:r w:rsidRPr="00CA1255">
        <w:rPr>
          <w:rFonts w:eastAsia="Calibri" w:cs="Arial"/>
          <w:sz w:val="20"/>
          <w:lang w:eastAsia="en-GB"/>
        </w:rPr>
        <w:t xml:space="preserve"> </w:t>
      </w:r>
      <w:r w:rsidR="00A742BE">
        <w:rPr>
          <w:rFonts w:eastAsia="Calibri" w:cs="Arial"/>
          <w:sz w:val="20"/>
          <w:lang w:eastAsia="en-GB"/>
        </w:rPr>
        <w:t>All</w:t>
      </w:r>
      <w:r w:rsidR="00A742BE" w:rsidRPr="004B1924">
        <w:rPr>
          <w:rFonts w:eastAsia="Calibri" w:cs="Arial"/>
          <w:sz w:val="20"/>
          <w:lang w:eastAsia="en-GB"/>
        </w:rPr>
        <w:t xml:space="preserve"> </w:t>
      </w:r>
      <w:r w:rsidR="00A742BE">
        <w:rPr>
          <w:rFonts w:eastAsia="Calibri" w:cs="Arial"/>
          <w:sz w:val="20"/>
          <w:lang w:eastAsia="en-GB"/>
        </w:rPr>
        <w:t xml:space="preserve">work has been </w:t>
      </w:r>
      <w:r w:rsidR="00A742BE" w:rsidRPr="004B1924">
        <w:rPr>
          <w:rFonts w:eastAsia="Calibri" w:cs="Arial"/>
          <w:sz w:val="20"/>
          <w:lang w:eastAsia="en-GB"/>
        </w:rPr>
        <w:t xml:space="preserve">completed in line with their normal turnaround times and the Trustees have not had any issues with delays. </w:t>
      </w:r>
    </w:p>
    <w:p w14:paraId="6C6F32A1" w14:textId="77777777" w:rsidR="00771558" w:rsidRPr="00CA1255" w:rsidRDefault="00771558" w:rsidP="00771558">
      <w:pPr>
        <w:autoSpaceDE w:val="0"/>
        <w:autoSpaceDN w:val="0"/>
        <w:adjustRightInd w:val="0"/>
        <w:jc w:val="both"/>
        <w:rPr>
          <w:rFonts w:eastAsia="Calibri" w:cs="Arial"/>
          <w:sz w:val="20"/>
          <w:lang w:eastAsia="en-GB"/>
        </w:rPr>
      </w:pPr>
    </w:p>
    <w:p w14:paraId="00F64D8B" w14:textId="46A9D264" w:rsidR="00E064D9" w:rsidRPr="00CA1255" w:rsidRDefault="00E064D9" w:rsidP="00771558">
      <w:pPr>
        <w:autoSpaceDE w:val="0"/>
        <w:autoSpaceDN w:val="0"/>
        <w:adjustRightInd w:val="0"/>
        <w:jc w:val="both"/>
        <w:rPr>
          <w:rFonts w:eastAsia="Calibri" w:cs="Arial"/>
          <w:sz w:val="20"/>
          <w:lang w:eastAsia="en-GB"/>
        </w:rPr>
      </w:pPr>
      <w:r w:rsidRPr="00CA1255">
        <w:rPr>
          <w:rFonts w:eastAsia="Calibri" w:cs="Arial"/>
          <w:sz w:val="20"/>
          <w:lang w:eastAsia="en-GB"/>
        </w:rPr>
        <w:t>The Trustees</w:t>
      </w:r>
      <w:r w:rsidR="00771558" w:rsidRPr="00CA1255">
        <w:rPr>
          <w:rFonts w:eastAsia="Calibri" w:cs="Arial"/>
          <w:sz w:val="20"/>
          <w:lang w:eastAsia="en-GB"/>
        </w:rPr>
        <w:t xml:space="preserve"> </w:t>
      </w:r>
      <w:r w:rsidRPr="00CA1255">
        <w:rPr>
          <w:rFonts w:eastAsia="Calibri" w:cs="Arial"/>
          <w:sz w:val="20"/>
          <w:lang w:eastAsia="en-GB"/>
        </w:rPr>
        <w:t>have reviewed the processes and controls implemented by those organisations and</w:t>
      </w:r>
      <w:r w:rsidR="00771558" w:rsidRPr="00CA1255">
        <w:rPr>
          <w:rFonts w:eastAsia="Calibri" w:cs="Arial"/>
          <w:sz w:val="20"/>
          <w:lang w:eastAsia="en-GB"/>
        </w:rPr>
        <w:t xml:space="preserve"> </w:t>
      </w:r>
      <w:r w:rsidRPr="00CA1255">
        <w:rPr>
          <w:rFonts w:eastAsia="Calibri" w:cs="Arial"/>
          <w:sz w:val="20"/>
          <w:lang w:eastAsia="en-GB"/>
        </w:rPr>
        <w:t xml:space="preserve">consider them to be suitably designed to achieve these objectives. </w:t>
      </w:r>
      <w:r w:rsidR="00771558" w:rsidRPr="00CA1255">
        <w:rPr>
          <w:rFonts w:eastAsia="Calibri" w:cs="Arial"/>
          <w:sz w:val="20"/>
          <w:lang w:eastAsia="en-GB"/>
        </w:rPr>
        <w:t xml:space="preserve"> It is noted that Atkin </w:t>
      </w:r>
      <w:r w:rsidR="00BC1CAF">
        <w:rPr>
          <w:rFonts w:eastAsia="Calibri" w:cs="Arial"/>
          <w:sz w:val="20"/>
          <w:lang w:eastAsia="en-GB"/>
        </w:rPr>
        <w:t xml:space="preserve">Pensions </w:t>
      </w:r>
      <w:r w:rsidR="00771558" w:rsidRPr="00CA1255">
        <w:rPr>
          <w:rFonts w:eastAsia="Calibri" w:cs="Arial"/>
          <w:sz w:val="20"/>
          <w:lang w:eastAsia="en-GB"/>
        </w:rPr>
        <w:t xml:space="preserve">have </w:t>
      </w:r>
      <w:r w:rsidR="00771558" w:rsidRPr="00CA1255">
        <w:rPr>
          <w:rFonts w:eastAsia="Calibri" w:cs="Arial"/>
          <w:sz w:val="20"/>
          <w:lang w:eastAsia="en-GB"/>
        </w:rPr>
        <w:lastRenderedPageBreak/>
        <w:t xml:space="preserve">been audited for compliance with </w:t>
      </w:r>
      <w:r w:rsidR="00771558" w:rsidRPr="00D00DEA">
        <w:rPr>
          <w:rFonts w:eastAsia="Calibri" w:cs="Arial"/>
          <w:sz w:val="20"/>
          <w:lang w:eastAsia="en-GB"/>
        </w:rPr>
        <w:t>ISO9001/27001 and</w:t>
      </w:r>
      <w:r w:rsidR="00771558" w:rsidRPr="00CA1255">
        <w:rPr>
          <w:rFonts w:eastAsia="Calibri" w:cs="Arial"/>
          <w:sz w:val="20"/>
          <w:lang w:eastAsia="en-GB"/>
        </w:rPr>
        <w:t xml:space="preserve"> AAF0106.</w:t>
      </w:r>
      <w:r w:rsidR="00C8670B">
        <w:rPr>
          <w:rFonts w:eastAsia="Calibri" w:cs="Arial"/>
          <w:sz w:val="20"/>
          <w:lang w:eastAsia="en-GB"/>
        </w:rPr>
        <w:t xml:space="preserve"> The</w:t>
      </w:r>
      <w:r w:rsidR="00AB7AF9">
        <w:rPr>
          <w:rFonts w:eastAsia="Calibri" w:cs="Arial"/>
          <w:sz w:val="20"/>
          <w:lang w:eastAsia="en-GB"/>
        </w:rPr>
        <w:t xml:space="preserve"> Trustees</w:t>
      </w:r>
      <w:r w:rsidR="00C8670B">
        <w:rPr>
          <w:rFonts w:eastAsia="Calibri" w:cs="Arial"/>
          <w:sz w:val="20"/>
          <w:lang w:eastAsia="en-GB"/>
        </w:rPr>
        <w:t xml:space="preserve"> receive </w:t>
      </w:r>
      <w:r w:rsidR="00E2140A">
        <w:rPr>
          <w:rFonts w:eastAsia="Calibri" w:cs="Arial"/>
          <w:sz w:val="20"/>
          <w:lang w:eastAsia="en-GB"/>
        </w:rPr>
        <w:t>regular</w:t>
      </w:r>
      <w:r w:rsidR="00C8670B">
        <w:rPr>
          <w:rFonts w:eastAsia="Calibri" w:cs="Arial"/>
          <w:sz w:val="20"/>
          <w:lang w:eastAsia="en-GB"/>
        </w:rPr>
        <w:t xml:space="preserve"> reports from Atkin </w:t>
      </w:r>
      <w:r w:rsidR="00BC1CAF">
        <w:rPr>
          <w:rFonts w:eastAsia="Calibri" w:cs="Arial"/>
          <w:sz w:val="20"/>
          <w:lang w:eastAsia="en-GB"/>
        </w:rPr>
        <w:t>Pensions</w:t>
      </w:r>
      <w:r w:rsidR="00C8670B">
        <w:rPr>
          <w:rFonts w:eastAsia="Calibri" w:cs="Arial"/>
          <w:sz w:val="20"/>
          <w:lang w:eastAsia="en-GB"/>
        </w:rPr>
        <w:t xml:space="preserve"> which include comments on administrative issues where actions or decisions are required and they monitor the actual operation of these processes by considering administrative matters at regular Trustee meetings.</w:t>
      </w:r>
      <w:r w:rsidR="00C8670B" w:rsidRPr="00C8670B">
        <w:t xml:space="preserve"> </w:t>
      </w:r>
      <w:r w:rsidR="00C8670B" w:rsidRPr="00C8670B">
        <w:rPr>
          <w:rFonts w:eastAsia="Calibri" w:cs="Arial"/>
          <w:sz w:val="20"/>
          <w:lang w:eastAsia="en-GB"/>
        </w:rPr>
        <w:t>No issues relating to these arrangements arose during the year and all core financial transactions relating to the DC section were processed promptly and accurately.</w:t>
      </w:r>
    </w:p>
    <w:p w14:paraId="04097523" w14:textId="77777777" w:rsidR="00771558" w:rsidRPr="00CA1255" w:rsidRDefault="00771558" w:rsidP="00771558">
      <w:pPr>
        <w:autoSpaceDE w:val="0"/>
        <w:autoSpaceDN w:val="0"/>
        <w:adjustRightInd w:val="0"/>
        <w:jc w:val="both"/>
        <w:rPr>
          <w:rFonts w:eastAsia="Calibri" w:cs="Arial"/>
          <w:sz w:val="20"/>
          <w:lang w:eastAsia="en-GB"/>
        </w:rPr>
      </w:pPr>
    </w:p>
    <w:p w14:paraId="79DF768F" w14:textId="77777777" w:rsidR="00E064D9" w:rsidRPr="00CA1255" w:rsidRDefault="00E064D9" w:rsidP="00771558">
      <w:pPr>
        <w:autoSpaceDE w:val="0"/>
        <w:autoSpaceDN w:val="0"/>
        <w:adjustRightInd w:val="0"/>
        <w:jc w:val="both"/>
        <w:rPr>
          <w:rFonts w:eastAsia="Calibri" w:cs="Arial"/>
          <w:sz w:val="20"/>
          <w:lang w:eastAsia="en-GB"/>
        </w:rPr>
      </w:pPr>
      <w:r w:rsidRPr="00CA1255">
        <w:rPr>
          <w:rFonts w:eastAsia="Calibri" w:cs="Arial"/>
          <w:sz w:val="20"/>
          <w:lang w:eastAsia="en-GB"/>
        </w:rPr>
        <w:t>In the light of the above, the Trustees consider that the requirements for processing core</w:t>
      </w:r>
      <w:r w:rsidR="00771558" w:rsidRPr="00CA1255">
        <w:rPr>
          <w:rFonts w:eastAsia="Calibri" w:cs="Arial"/>
          <w:sz w:val="20"/>
          <w:lang w:eastAsia="en-GB"/>
        </w:rPr>
        <w:t xml:space="preserve"> </w:t>
      </w:r>
      <w:r w:rsidRPr="00CA1255">
        <w:rPr>
          <w:rFonts w:eastAsia="Calibri" w:cs="Arial"/>
          <w:sz w:val="20"/>
          <w:lang w:eastAsia="en-GB"/>
        </w:rPr>
        <w:t>financial transactions specified in the Administration Regulations have been met.</w:t>
      </w:r>
    </w:p>
    <w:p w14:paraId="0CD45627" w14:textId="77777777" w:rsidR="00E064D9" w:rsidRPr="00CA1255" w:rsidRDefault="00E064D9" w:rsidP="00771558">
      <w:pPr>
        <w:pStyle w:val="Heading1"/>
        <w:spacing w:before="0"/>
        <w:jc w:val="both"/>
        <w:rPr>
          <w:color w:val="auto"/>
          <w:lang w:eastAsia="en-GB"/>
        </w:rPr>
      </w:pPr>
    </w:p>
    <w:p w14:paraId="48F9D6AE" w14:textId="77777777" w:rsidR="00E064D9" w:rsidRPr="00CA1255" w:rsidRDefault="00E064D9" w:rsidP="00771558">
      <w:pPr>
        <w:autoSpaceDE w:val="0"/>
        <w:autoSpaceDN w:val="0"/>
        <w:adjustRightInd w:val="0"/>
        <w:jc w:val="both"/>
        <w:rPr>
          <w:rFonts w:eastAsia="Calibri" w:cs="Arial"/>
          <w:b/>
          <w:bCs/>
          <w:sz w:val="22"/>
          <w:szCs w:val="22"/>
          <w:lang w:eastAsia="en-GB"/>
        </w:rPr>
      </w:pPr>
      <w:r w:rsidRPr="00CA1255">
        <w:rPr>
          <w:rFonts w:eastAsia="Calibri" w:cs="Arial"/>
          <w:b/>
          <w:bCs/>
          <w:sz w:val="22"/>
          <w:szCs w:val="22"/>
          <w:lang w:eastAsia="en-GB"/>
        </w:rPr>
        <w:t>Transaction costs</w:t>
      </w:r>
    </w:p>
    <w:p w14:paraId="33ADBA1D" w14:textId="77777777" w:rsidR="00771558" w:rsidRPr="00CA1255" w:rsidRDefault="00771558" w:rsidP="00771558">
      <w:pPr>
        <w:autoSpaceDE w:val="0"/>
        <w:autoSpaceDN w:val="0"/>
        <w:adjustRightInd w:val="0"/>
        <w:jc w:val="both"/>
        <w:rPr>
          <w:rFonts w:eastAsia="Calibri" w:cs="Arial"/>
          <w:sz w:val="20"/>
          <w:lang w:eastAsia="en-GB"/>
        </w:rPr>
      </w:pPr>
    </w:p>
    <w:p w14:paraId="2AC9A967" w14:textId="77777777" w:rsidR="00771558" w:rsidRPr="00CA1255" w:rsidRDefault="00E064D9" w:rsidP="00771558">
      <w:pPr>
        <w:autoSpaceDE w:val="0"/>
        <w:autoSpaceDN w:val="0"/>
        <w:adjustRightInd w:val="0"/>
        <w:jc w:val="both"/>
        <w:rPr>
          <w:rFonts w:eastAsia="Calibri" w:cs="Arial"/>
          <w:sz w:val="20"/>
          <w:lang w:eastAsia="en-GB"/>
        </w:rPr>
      </w:pPr>
      <w:r w:rsidRPr="00CA1255">
        <w:rPr>
          <w:rFonts w:eastAsia="Calibri" w:cs="Arial"/>
          <w:sz w:val="20"/>
          <w:lang w:eastAsia="en-GB"/>
        </w:rPr>
        <w:t>The Administration Regulations require the Trustees to make an assessment of charges</w:t>
      </w:r>
      <w:r w:rsidR="00771558" w:rsidRPr="00CA1255">
        <w:rPr>
          <w:rFonts w:eastAsia="Calibri" w:cs="Arial"/>
          <w:sz w:val="20"/>
          <w:lang w:eastAsia="en-GB"/>
        </w:rPr>
        <w:t xml:space="preserve"> </w:t>
      </w:r>
      <w:r w:rsidRPr="00CA1255">
        <w:rPr>
          <w:rFonts w:eastAsia="Calibri" w:cs="Arial"/>
          <w:sz w:val="20"/>
          <w:lang w:eastAsia="en-GB"/>
        </w:rPr>
        <w:t xml:space="preserve">and </w:t>
      </w:r>
      <w:r w:rsidR="00771558" w:rsidRPr="00CA1255">
        <w:rPr>
          <w:rFonts w:eastAsia="Calibri" w:cs="Arial"/>
          <w:sz w:val="20"/>
          <w:lang w:eastAsia="en-GB"/>
        </w:rPr>
        <w:t>t</w:t>
      </w:r>
      <w:r w:rsidRPr="00CA1255">
        <w:rPr>
          <w:rFonts w:eastAsia="Calibri" w:cs="Arial"/>
          <w:sz w:val="20"/>
          <w:lang w:eastAsia="en-GB"/>
        </w:rPr>
        <w:t>ransactions costs borne by DC section members and the extent to which those</w:t>
      </w:r>
      <w:r w:rsidR="00771558" w:rsidRPr="00CA1255">
        <w:rPr>
          <w:rFonts w:eastAsia="Calibri" w:cs="Arial"/>
          <w:sz w:val="20"/>
          <w:lang w:eastAsia="en-GB"/>
        </w:rPr>
        <w:t xml:space="preserve"> </w:t>
      </w:r>
      <w:r w:rsidRPr="00CA1255">
        <w:rPr>
          <w:rFonts w:eastAsia="Calibri" w:cs="Arial"/>
          <w:sz w:val="20"/>
          <w:lang w:eastAsia="en-GB"/>
        </w:rPr>
        <w:t xml:space="preserve">charges and costs represent </w:t>
      </w:r>
      <w:r w:rsidR="00771558" w:rsidRPr="00CA1255">
        <w:rPr>
          <w:rFonts w:eastAsia="Calibri" w:cs="Arial"/>
          <w:sz w:val="20"/>
          <w:lang w:eastAsia="en-GB"/>
        </w:rPr>
        <w:t>good value for money for members</w:t>
      </w:r>
      <w:r w:rsidRPr="00CA1255">
        <w:rPr>
          <w:rFonts w:eastAsia="Calibri" w:cs="Arial"/>
          <w:sz w:val="20"/>
          <w:lang w:eastAsia="en-GB"/>
        </w:rPr>
        <w:t>.</w:t>
      </w:r>
    </w:p>
    <w:p w14:paraId="1574971B" w14:textId="77777777" w:rsidR="00771558" w:rsidRPr="00CA1255" w:rsidRDefault="00771558" w:rsidP="00771558">
      <w:pPr>
        <w:autoSpaceDE w:val="0"/>
        <w:autoSpaceDN w:val="0"/>
        <w:adjustRightInd w:val="0"/>
        <w:jc w:val="both"/>
        <w:rPr>
          <w:rFonts w:eastAsia="Calibri" w:cs="Arial"/>
          <w:sz w:val="20"/>
          <w:lang w:eastAsia="en-GB"/>
        </w:rPr>
      </w:pPr>
    </w:p>
    <w:p w14:paraId="0666ED33" w14:textId="36B27841" w:rsidR="00111161" w:rsidRDefault="00771558" w:rsidP="00625283">
      <w:pPr>
        <w:autoSpaceDE w:val="0"/>
        <w:autoSpaceDN w:val="0"/>
        <w:adjustRightInd w:val="0"/>
        <w:jc w:val="both"/>
        <w:rPr>
          <w:rFonts w:eastAsia="Calibri" w:cs="Arial"/>
          <w:sz w:val="20"/>
          <w:lang w:eastAsia="en-GB"/>
        </w:rPr>
      </w:pPr>
      <w:r w:rsidRPr="00CA1255">
        <w:rPr>
          <w:rFonts w:eastAsia="Calibri" w:cs="Arial"/>
          <w:sz w:val="20"/>
          <w:lang w:eastAsia="en-GB"/>
        </w:rPr>
        <w:t>T</w:t>
      </w:r>
      <w:r w:rsidR="00E064D9" w:rsidRPr="00CA1255">
        <w:rPr>
          <w:rFonts w:eastAsia="Calibri" w:cs="Arial"/>
          <w:sz w:val="20"/>
          <w:lang w:eastAsia="en-GB"/>
        </w:rPr>
        <w:t xml:space="preserve">he </w:t>
      </w:r>
      <w:r w:rsidR="004C236D" w:rsidRPr="00CA1255">
        <w:rPr>
          <w:rFonts w:eastAsia="Calibri" w:cs="Arial"/>
          <w:sz w:val="20"/>
          <w:lang w:eastAsia="en-GB"/>
        </w:rPr>
        <w:t xml:space="preserve">Scheme holds investments </w:t>
      </w:r>
      <w:r w:rsidR="009C4622">
        <w:rPr>
          <w:rFonts w:eastAsia="Calibri" w:cs="Arial"/>
          <w:sz w:val="20"/>
          <w:lang w:eastAsia="en-GB"/>
        </w:rPr>
        <w:t>through</w:t>
      </w:r>
      <w:r w:rsidR="009C4622" w:rsidRPr="00CA1255">
        <w:rPr>
          <w:rFonts w:eastAsia="Calibri" w:cs="Arial"/>
          <w:sz w:val="20"/>
          <w:lang w:eastAsia="en-GB"/>
        </w:rPr>
        <w:t xml:space="preserve"> </w:t>
      </w:r>
      <w:r w:rsidR="004C236D" w:rsidRPr="00CA1255">
        <w:rPr>
          <w:rFonts w:eastAsia="Calibri" w:cs="Arial"/>
          <w:sz w:val="20"/>
          <w:lang w:eastAsia="en-GB"/>
        </w:rPr>
        <w:t>St James</w:t>
      </w:r>
      <w:r w:rsidR="00EF7D1B">
        <w:rPr>
          <w:rFonts w:eastAsia="Calibri" w:cs="Arial"/>
          <w:sz w:val="20"/>
          <w:lang w:eastAsia="en-GB"/>
        </w:rPr>
        <w:t>’s</w:t>
      </w:r>
      <w:r w:rsidR="004C236D" w:rsidRPr="00CA1255">
        <w:rPr>
          <w:rFonts w:eastAsia="Calibri" w:cs="Arial"/>
          <w:sz w:val="20"/>
          <w:lang w:eastAsia="en-GB"/>
        </w:rPr>
        <w:t xml:space="preserve"> Place</w:t>
      </w:r>
      <w:r w:rsidR="009C4622">
        <w:rPr>
          <w:rFonts w:eastAsia="Calibri" w:cs="Arial"/>
          <w:sz w:val="20"/>
          <w:lang w:eastAsia="en-GB"/>
        </w:rPr>
        <w:t xml:space="preserve"> </w:t>
      </w:r>
      <w:r w:rsidR="00EF7D1B">
        <w:rPr>
          <w:rFonts w:eastAsia="Calibri" w:cs="Arial"/>
          <w:sz w:val="20"/>
          <w:lang w:eastAsia="en-GB"/>
        </w:rPr>
        <w:t xml:space="preserve">Wealth Management </w:t>
      </w:r>
      <w:r w:rsidR="00111161">
        <w:rPr>
          <w:rFonts w:eastAsia="Calibri" w:cs="Arial"/>
          <w:sz w:val="20"/>
          <w:lang w:eastAsia="en-GB"/>
        </w:rPr>
        <w:t>in pooled funds managed by a diverse range of managers, as set out in the Statement of Investment Principles. It</w:t>
      </w:r>
      <w:r w:rsidR="002E4D31">
        <w:rPr>
          <w:rFonts w:eastAsia="Calibri" w:cs="Arial"/>
          <w:sz w:val="20"/>
          <w:lang w:eastAsia="en-GB"/>
        </w:rPr>
        <w:t xml:space="preserve"> has appointed the Duley Practice, an agent </w:t>
      </w:r>
      <w:r w:rsidR="00AB7AF9">
        <w:rPr>
          <w:rFonts w:eastAsia="Calibri" w:cs="Arial"/>
          <w:sz w:val="20"/>
          <w:lang w:eastAsia="en-GB"/>
        </w:rPr>
        <w:t>of</w:t>
      </w:r>
      <w:r w:rsidR="002E4D31">
        <w:rPr>
          <w:rFonts w:eastAsia="Calibri" w:cs="Arial"/>
          <w:sz w:val="20"/>
          <w:lang w:eastAsia="en-GB"/>
        </w:rPr>
        <w:t xml:space="preserve"> St James</w:t>
      </w:r>
      <w:r w:rsidR="00EF7D1B">
        <w:rPr>
          <w:rFonts w:eastAsia="Calibri" w:cs="Arial"/>
          <w:sz w:val="20"/>
          <w:lang w:eastAsia="en-GB"/>
        </w:rPr>
        <w:t>’s</w:t>
      </w:r>
      <w:r w:rsidR="002E4D31">
        <w:rPr>
          <w:rFonts w:eastAsia="Calibri" w:cs="Arial"/>
          <w:sz w:val="20"/>
          <w:lang w:eastAsia="en-GB"/>
        </w:rPr>
        <w:t xml:space="preserve"> Place, as its investment adviser. </w:t>
      </w:r>
      <w:r w:rsidR="00EF7D1B">
        <w:rPr>
          <w:rFonts w:eastAsia="Calibri" w:cs="Arial"/>
          <w:sz w:val="20"/>
          <w:lang w:eastAsia="en-GB"/>
        </w:rPr>
        <w:t>The Scheme is charged an annual management fee by St James’s Place</w:t>
      </w:r>
      <w:r w:rsidR="002E4D31">
        <w:rPr>
          <w:rFonts w:eastAsia="Calibri" w:cs="Arial"/>
          <w:sz w:val="20"/>
          <w:lang w:eastAsia="en-GB"/>
        </w:rPr>
        <w:t xml:space="preserve"> </w:t>
      </w:r>
      <w:r w:rsidR="00E26813">
        <w:rPr>
          <w:rFonts w:eastAsia="Calibri" w:cs="Arial"/>
          <w:sz w:val="20"/>
          <w:lang w:eastAsia="en-GB"/>
        </w:rPr>
        <w:t xml:space="preserve">Wealth Management </w:t>
      </w:r>
      <w:r w:rsidR="002E4D31">
        <w:rPr>
          <w:rFonts w:eastAsia="Calibri" w:cs="Arial"/>
          <w:sz w:val="20"/>
          <w:lang w:eastAsia="en-GB"/>
        </w:rPr>
        <w:t xml:space="preserve">out of which </w:t>
      </w:r>
      <w:r w:rsidR="009C4622">
        <w:rPr>
          <w:rFonts w:eastAsia="Calibri" w:cs="Arial"/>
          <w:sz w:val="20"/>
          <w:lang w:eastAsia="en-GB"/>
        </w:rPr>
        <w:t>all investment management fees due to St James Place</w:t>
      </w:r>
      <w:r w:rsidR="00861CFC">
        <w:rPr>
          <w:rFonts w:eastAsia="Calibri" w:cs="Arial"/>
          <w:sz w:val="20"/>
          <w:lang w:eastAsia="en-GB"/>
        </w:rPr>
        <w:t xml:space="preserve"> and the managers of the pooled funds in which the Scheme is invested</w:t>
      </w:r>
      <w:r w:rsidR="00EF7D1B">
        <w:rPr>
          <w:rFonts w:eastAsia="Calibri" w:cs="Arial"/>
          <w:sz w:val="20"/>
          <w:lang w:eastAsia="en-GB"/>
        </w:rPr>
        <w:t xml:space="preserve"> </w:t>
      </w:r>
      <w:r w:rsidR="005A70D9">
        <w:rPr>
          <w:rFonts w:eastAsia="Calibri" w:cs="Arial"/>
          <w:sz w:val="20"/>
          <w:lang w:eastAsia="en-GB"/>
        </w:rPr>
        <w:t xml:space="preserve">are settled, as well as </w:t>
      </w:r>
      <w:r w:rsidR="00E26813">
        <w:rPr>
          <w:rFonts w:eastAsia="Calibri" w:cs="Arial"/>
          <w:sz w:val="20"/>
          <w:lang w:eastAsia="en-GB"/>
        </w:rPr>
        <w:t xml:space="preserve">the </w:t>
      </w:r>
      <w:r w:rsidR="00EF7D1B">
        <w:rPr>
          <w:rFonts w:eastAsia="Calibri" w:cs="Arial"/>
          <w:sz w:val="20"/>
          <w:lang w:eastAsia="en-GB"/>
        </w:rPr>
        <w:t>fees due to the Duley Practice for advisory services</w:t>
      </w:r>
      <w:r w:rsidR="00861CFC">
        <w:rPr>
          <w:rFonts w:eastAsia="Calibri" w:cs="Arial"/>
          <w:sz w:val="20"/>
          <w:lang w:eastAsia="en-GB"/>
        </w:rPr>
        <w:t>.</w:t>
      </w:r>
      <w:r w:rsidR="009C4622">
        <w:rPr>
          <w:rFonts w:eastAsia="Calibri" w:cs="Arial"/>
          <w:sz w:val="20"/>
          <w:lang w:eastAsia="en-GB"/>
        </w:rPr>
        <w:t xml:space="preserve"> </w:t>
      </w:r>
      <w:r w:rsidR="00A40024">
        <w:rPr>
          <w:rFonts w:eastAsia="Calibri" w:cs="Arial"/>
          <w:sz w:val="20"/>
          <w:lang w:eastAsia="en-GB"/>
        </w:rPr>
        <w:t>In the year ended 31 January 20</w:t>
      </w:r>
      <w:r w:rsidR="00CA5727">
        <w:rPr>
          <w:rFonts w:eastAsia="Calibri" w:cs="Arial"/>
          <w:sz w:val="20"/>
          <w:lang w:eastAsia="en-GB"/>
        </w:rPr>
        <w:t>2</w:t>
      </w:r>
      <w:r w:rsidR="00E2140A">
        <w:rPr>
          <w:rFonts w:eastAsia="Calibri" w:cs="Arial"/>
          <w:sz w:val="20"/>
          <w:lang w:eastAsia="en-GB"/>
        </w:rPr>
        <w:t>4</w:t>
      </w:r>
      <w:r w:rsidR="00A40024">
        <w:rPr>
          <w:rFonts w:eastAsia="Calibri" w:cs="Arial"/>
          <w:sz w:val="20"/>
          <w:lang w:eastAsia="en-GB"/>
        </w:rPr>
        <w:t>, the annual management fee was £</w:t>
      </w:r>
      <w:r w:rsidR="00BC1CAF">
        <w:rPr>
          <w:rFonts w:eastAsia="Calibri" w:cs="Arial"/>
          <w:sz w:val="20"/>
          <w:lang w:eastAsia="en-GB"/>
        </w:rPr>
        <w:t>12,137</w:t>
      </w:r>
      <w:r w:rsidR="007E461A">
        <w:rPr>
          <w:rFonts w:eastAsia="Calibri" w:cs="Arial"/>
          <w:sz w:val="20"/>
          <w:lang w:eastAsia="en-GB"/>
        </w:rPr>
        <w:t xml:space="preserve"> </w:t>
      </w:r>
      <w:r w:rsidR="00A40024">
        <w:rPr>
          <w:rFonts w:eastAsia="Calibri" w:cs="Arial"/>
          <w:sz w:val="20"/>
          <w:lang w:eastAsia="en-GB"/>
        </w:rPr>
        <w:t>(</w:t>
      </w:r>
      <w:r w:rsidR="00BC1CAF">
        <w:rPr>
          <w:rFonts w:eastAsia="Calibri" w:cs="Arial"/>
          <w:sz w:val="20"/>
          <w:lang w:eastAsia="en-GB"/>
        </w:rPr>
        <w:t>1.73</w:t>
      </w:r>
      <w:r w:rsidR="00A40024">
        <w:rPr>
          <w:rFonts w:eastAsia="Calibri" w:cs="Arial"/>
          <w:sz w:val="20"/>
          <w:lang w:eastAsia="en-GB"/>
        </w:rPr>
        <w:t>% of the total fund a</w:t>
      </w:r>
      <w:r w:rsidR="00F03C9B">
        <w:rPr>
          <w:rFonts w:eastAsia="Calibri" w:cs="Arial"/>
          <w:sz w:val="20"/>
          <w:lang w:eastAsia="en-GB"/>
        </w:rPr>
        <w:t>t</w:t>
      </w:r>
      <w:r w:rsidR="00A40024">
        <w:rPr>
          <w:rFonts w:eastAsia="Calibri" w:cs="Arial"/>
          <w:sz w:val="20"/>
          <w:lang w:eastAsia="en-GB"/>
        </w:rPr>
        <w:t xml:space="preserve"> the end of the financial year) and</w:t>
      </w:r>
      <w:r w:rsidR="00BC1CAF">
        <w:rPr>
          <w:rFonts w:eastAsia="Calibri" w:cs="Arial"/>
          <w:sz w:val="20"/>
          <w:lang w:eastAsia="en-GB"/>
        </w:rPr>
        <w:t xml:space="preserve"> estimated</w:t>
      </w:r>
      <w:r w:rsidR="00A40024">
        <w:rPr>
          <w:rFonts w:eastAsia="Calibri" w:cs="Arial"/>
          <w:sz w:val="20"/>
          <w:lang w:eastAsia="en-GB"/>
        </w:rPr>
        <w:t xml:space="preserve"> transaction costs were £</w:t>
      </w:r>
      <w:r w:rsidR="0089279C">
        <w:rPr>
          <w:rFonts w:eastAsia="Calibri" w:cs="Arial"/>
          <w:sz w:val="20"/>
          <w:lang w:eastAsia="en-GB"/>
        </w:rPr>
        <w:t xml:space="preserve">535 </w:t>
      </w:r>
      <w:r w:rsidR="00A40024">
        <w:rPr>
          <w:rFonts w:eastAsia="Calibri" w:cs="Arial"/>
          <w:sz w:val="20"/>
          <w:lang w:eastAsia="en-GB"/>
        </w:rPr>
        <w:t>(</w:t>
      </w:r>
      <w:r w:rsidR="0089279C">
        <w:rPr>
          <w:rFonts w:eastAsia="Calibri" w:cs="Arial"/>
          <w:sz w:val="20"/>
          <w:lang w:eastAsia="en-GB"/>
        </w:rPr>
        <w:t>0.12</w:t>
      </w:r>
      <w:r w:rsidR="00A40024">
        <w:rPr>
          <w:rFonts w:eastAsia="Calibri" w:cs="Arial"/>
          <w:sz w:val="20"/>
          <w:lang w:eastAsia="en-GB"/>
        </w:rPr>
        <w:t>%). Future charges and costs are expected to reduce the investment growth of the fund by 1.8% and 0.2% each year respectively over the next 10 years</w:t>
      </w:r>
      <w:r w:rsidR="008E0A48">
        <w:rPr>
          <w:rFonts w:eastAsia="Calibri" w:cs="Arial"/>
          <w:sz w:val="20"/>
          <w:lang w:eastAsia="en-GB"/>
        </w:rPr>
        <w:t>, if the liabilities are not secured elsewhere over this period</w:t>
      </w:r>
      <w:r w:rsidR="00A40024">
        <w:rPr>
          <w:rFonts w:eastAsia="Calibri" w:cs="Arial"/>
          <w:sz w:val="20"/>
          <w:lang w:eastAsia="en-GB"/>
        </w:rPr>
        <w:t>.</w:t>
      </w:r>
      <w:r w:rsidR="00111161">
        <w:rPr>
          <w:rFonts w:eastAsia="Calibri" w:cs="Arial"/>
          <w:sz w:val="20"/>
          <w:lang w:eastAsia="en-GB"/>
        </w:rPr>
        <w:t xml:space="preserve"> </w:t>
      </w:r>
    </w:p>
    <w:p w14:paraId="4B899936" w14:textId="77777777" w:rsidR="00111161" w:rsidRDefault="00111161" w:rsidP="00625283">
      <w:pPr>
        <w:autoSpaceDE w:val="0"/>
        <w:autoSpaceDN w:val="0"/>
        <w:adjustRightInd w:val="0"/>
        <w:jc w:val="both"/>
        <w:rPr>
          <w:rFonts w:eastAsia="Calibri" w:cs="Arial"/>
          <w:sz w:val="20"/>
          <w:lang w:eastAsia="en-GB"/>
        </w:rPr>
      </w:pPr>
    </w:p>
    <w:p w14:paraId="448F2A76" w14:textId="406C5076" w:rsidR="00E64124" w:rsidRPr="00E64124" w:rsidRDefault="004E0AC6" w:rsidP="00E64124">
      <w:pPr>
        <w:autoSpaceDE w:val="0"/>
        <w:autoSpaceDN w:val="0"/>
        <w:adjustRightInd w:val="0"/>
        <w:jc w:val="both"/>
        <w:rPr>
          <w:rFonts w:eastAsia="Calibri" w:cs="Arial"/>
          <w:sz w:val="20"/>
          <w:lang w:eastAsia="en-GB"/>
        </w:rPr>
      </w:pPr>
      <w:r>
        <w:rPr>
          <w:rFonts w:eastAsia="Calibri" w:cs="Arial"/>
          <w:sz w:val="20"/>
          <w:lang w:eastAsia="en-GB"/>
        </w:rPr>
        <w:t>The Trustees assess whether the management fees and transaction costs borne by members represent good value for money by regularly reviewing the investment return earned by the Scheme net of all fees and costs</w:t>
      </w:r>
      <w:r w:rsidR="0054628D">
        <w:rPr>
          <w:rFonts w:eastAsia="Calibri" w:cs="Arial"/>
          <w:sz w:val="20"/>
          <w:lang w:eastAsia="en-GB"/>
        </w:rPr>
        <w:t xml:space="preserve"> against their target for the Scheme and comparable benchmarks noted above</w:t>
      </w:r>
      <w:r>
        <w:rPr>
          <w:rFonts w:eastAsia="Calibri" w:cs="Arial"/>
          <w:sz w:val="20"/>
          <w:lang w:eastAsia="en-GB"/>
        </w:rPr>
        <w:t xml:space="preserve">. They last did this for the Scheme year ended 31 January </w:t>
      </w:r>
      <w:r w:rsidR="008E0A48">
        <w:rPr>
          <w:rFonts w:eastAsia="Calibri" w:cs="Arial"/>
          <w:sz w:val="20"/>
          <w:lang w:eastAsia="en-GB"/>
        </w:rPr>
        <w:t>2024 a</w:t>
      </w:r>
      <w:r w:rsidR="0054628D">
        <w:rPr>
          <w:rFonts w:eastAsia="Calibri" w:cs="Arial"/>
          <w:sz w:val="20"/>
          <w:lang w:eastAsia="en-GB"/>
        </w:rPr>
        <w:t xml:space="preserve">nd the summary of the relative returns over 1, 3 and 5 years is given in the Investment </w:t>
      </w:r>
      <w:r w:rsidR="002F7CED">
        <w:rPr>
          <w:rFonts w:eastAsia="Calibri" w:cs="Arial"/>
          <w:sz w:val="20"/>
          <w:lang w:eastAsia="en-GB"/>
        </w:rPr>
        <w:t>Advisor</w:t>
      </w:r>
      <w:r w:rsidR="0054628D">
        <w:rPr>
          <w:rFonts w:eastAsia="Calibri" w:cs="Arial"/>
          <w:sz w:val="20"/>
          <w:lang w:eastAsia="en-GB"/>
        </w:rPr>
        <w:t>’s report which forms part of the Trustees’ Report</w:t>
      </w:r>
      <w:r w:rsidR="00F03C9B">
        <w:rPr>
          <w:rFonts w:eastAsia="Calibri" w:cs="Arial"/>
          <w:sz w:val="20"/>
          <w:lang w:eastAsia="en-GB"/>
        </w:rPr>
        <w:t>.</w:t>
      </w:r>
      <w:r w:rsidR="00FA6310">
        <w:rPr>
          <w:rFonts w:eastAsia="Calibri" w:cs="Arial"/>
          <w:sz w:val="20"/>
          <w:lang w:eastAsia="en-GB"/>
        </w:rPr>
        <w:t xml:space="preserve"> The average net return earned by the Scheme over the 3 years ended 31 January 20</w:t>
      </w:r>
      <w:r w:rsidR="00CA5727">
        <w:rPr>
          <w:rFonts w:eastAsia="Calibri" w:cs="Arial"/>
          <w:sz w:val="20"/>
          <w:lang w:eastAsia="en-GB"/>
        </w:rPr>
        <w:t>2</w:t>
      </w:r>
      <w:r w:rsidR="008E0A48">
        <w:rPr>
          <w:rFonts w:eastAsia="Calibri" w:cs="Arial"/>
          <w:sz w:val="20"/>
          <w:lang w:eastAsia="en-GB"/>
        </w:rPr>
        <w:t>4</w:t>
      </w:r>
      <w:r w:rsidR="00FA6310">
        <w:rPr>
          <w:rFonts w:eastAsia="Calibri" w:cs="Arial"/>
          <w:sz w:val="20"/>
          <w:lang w:eastAsia="en-GB"/>
        </w:rPr>
        <w:t xml:space="preserve"> was </w:t>
      </w:r>
      <w:r w:rsidR="0089279C">
        <w:rPr>
          <w:rFonts w:eastAsia="Calibri" w:cs="Arial"/>
          <w:sz w:val="20"/>
          <w:lang w:eastAsia="en-GB"/>
        </w:rPr>
        <w:t>1.8</w:t>
      </w:r>
      <w:r w:rsidR="00FA6310">
        <w:rPr>
          <w:rFonts w:eastAsia="Calibri" w:cs="Arial"/>
          <w:sz w:val="20"/>
          <w:lang w:eastAsia="en-GB"/>
        </w:rPr>
        <w:t>%</w:t>
      </w:r>
      <w:r w:rsidR="00CA5727">
        <w:rPr>
          <w:rFonts w:eastAsia="Calibri" w:cs="Arial"/>
          <w:sz w:val="20"/>
          <w:lang w:eastAsia="en-GB"/>
        </w:rPr>
        <w:t xml:space="preserve"> per annum</w:t>
      </w:r>
      <w:r w:rsidR="00FA6310">
        <w:rPr>
          <w:rFonts w:eastAsia="Calibri" w:cs="Arial"/>
          <w:sz w:val="20"/>
          <w:lang w:eastAsia="en-GB"/>
        </w:rPr>
        <w:t>.</w:t>
      </w:r>
    </w:p>
    <w:p w14:paraId="5D2A2FDA" w14:textId="77777777" w:rsidR="00A742BE" w:rsidRDefault="00A742BE" w:rsidP="00A742BE">
      <w:pPr>
        <w:autoSpaceDE w:val="0"/>
        <w:autoSpaceDN w:val="0"/>
        <w:adjustRightInd w:val="0"/>
        <w:jc w:val="both"/>
        <w:rPr>
          <w:rFonts w:eastAsia="Calibri" w:cs="Arial"/>
          <w:sz w:val="20"/>
          <w:lang w:eastAsia="en-GB"/>
        </w:rPr>
      </w:pPr>
    </w:p>
    <w:p w14:paraId="27030CDC" w14:textId="4EBDB087" w:rsidR="00E64124" w:rsidRDefault="00E64124" w:rsidP="004B1924">
      <w:pPr>
        <w:autoSpaceDE w:val="0"/>
        <w:autoSpaceDN w:val="0"/>
        <w:adjustRightInd w:val="0"/>
        <w:jc w:val="both"/>
        <w:rPr>
          <w:rFonts w:eastAsia="Calibri" w:cs="Arial"/>
          <w:sz w:val="20"/>
          <w:lang w:eastAsia="en-GB"/>
        </w:rPr>
      </w:pPr>
      <w:r>
        <w:rPr>
          <w:rFonts w:eastAsia="Calibri" w:cs="Arial"/>
          <w:sz w:val="20"/>
          <w:lang w:eastAsia="en-GB"/>
        </w:rPr>
        <w:t xml:space="preserve">As noted in the Trustees’ report, the Trustees </w:t>
      </w:r>
      <w:r w:rsidRPr="00E64124">
        <w:rPr>
          <w:rFonts w:eastAsia="Calibri" w:cs="Arial"/>
          <w:sz w:val="20"/>
          <w:lang w:eastAsia="en-GB"/>
        </w:rPr>
        <w:t>believe that best value for money for members will be achieved by securing their benefits with a third party and are working to achieve this objective</w:t>
      </w:r>
      <w:r w:rsidR="008E0A48">
        <w:rPr>
          <w:rFonts w:eastAsia="Calibri" w:cs="Arial"/>
          <w:sz w:val="20"/>
          <w:lang w:eastAsia="en-GB"/>
        </w:rPr>
        <w:t xml:space="preserve"> for the remaining two members who were not subject to the 2023 buy-in</w:t>
      </w:r>
    </w:p>
    <w:p w14:paraId="1A49A3B7" w14:textId="77777777" w:rsidR="00E64124" w:rsidRDefault="00E64124" w:rsidP="004B1924">
      <w:pPr>
        <w:autoSpaceDE w:val="0"/>
        <w:autoSpaceDN w:val="0"/>
        <w:adjustRightInd w:val="0"/>
        <w:jc w:val="both"/>
        <w:rPr>
          <w:rFonts w:eastAsia="Calibri" w:cs="Arial"/>
          <w:sz w:val="20"/>
          <w:lang w:eastAsia="en-GB"/>
        </w:rPr>
      </w:pPr>
    </w:p>
    <w:p w14:paraId="235D926E" w14:textId="3B111B1B" w:rsidR="00A742BE" w:rsidRPr="004B1924" w:rsidRDefault="00A742BE" w:rsidP="004B1924">
      <w:pPr>
        <w:autoSpaceDE w:val="0"/>
        <w:autoSpaceDN w:val="0"/>
        <w:adjustRightInd w:val="0"/>
        <w:jc w:val="both"/>
        <w:rPr>
          <w:rFonts w:eastAsia="Calibri" w:cs="Arial"/>
          <w:b/>
          <w:bCs/>
          <w:i/>
          <w:iCs/>
          <w:sz w:val="20"/>
          <w:lang w:eastAsia="en-GB"/>
        </w:rPr>
      </w:pPr>
      <w:r w:rsidRPr="004B1924">
        <w:rPr>
          <w:rFonts w:eastAsia="Calibri" w:cs="Arial"/>
          <w:b/>
          <w:bCs/>
          <w:i/>
          <w:iCs/>
          <w:sz w:val="20"/>
          <w:lang w:eastAsia="en-GB"/>
        </w:rPr>
        <w:t>Cumulative effects of charges and transaction costs over time</w:t>
      </w:r>
    </w:p>
    <w:p w14:paraId="57C741E7" w14:textId="77777777" w:rsidR="00A742BE" w:rsidRPr="004B1924" w:rsidRDefault="00A742BE" w:rsidP="004B1924">
      <w:pPr>
        <w:autoSpaceDE w:val="0"/>
        <w:autoSpaceDN w:val="0"/>
        <w:adjustRightInd w:val="0"/>
        <w:jc w:val="both"/>
        <w:rPr>
          <w:rFonts w:eastAsia="Calibri" w:cs="Arial"/>
          <w:sz w:val="20"/>
          <w:lang w:eastAsia="en-GB"/>
        </w:rPr>
      </w:pPr>
    </w:p>
    <w:p w14:paraId="12382C40" w14:textId="77777777" w:rsidR="00A742BE" w:rsidRPr="004B1924" w:rsidRDefault="00A742BE" w:rsidP="004B1924">
      <w:pPr>
        <w:autoSpaceDE w:val="0"/>
        <w:autoSpaceDN w:val="0"/>
        <w:adjustRightInd w:val="0"/>
        <w:jc w:val="both"/>
        <w:rPr>
          <w:rFonts w:eastAsia="Calibri" w:cs="Arial"/>
          <w:sz w:val="20"/>
          <w:lang w:eastAsia="en-GB"/>
        </w:rPr>
      </w:pPr>
      <w:r w:rsidRPr="004B1924">
        <w:rPr>
          <w:rFonts w:eastAsia="Calibri" w:cs="Arial"/>
          <w:sz w:val="20"/>
          <w:lang w:eastAsia="en-GB"/>
        </w:rPr>
        <w:t>The table below shows projected pension pot values in today’s prices after allowing for inflation, before and after charges and costs are deducted.</w:t>
      </w:r>
    </w:p>
    <w:p w14:paraId="2EAB5A69" w14:textId="024C540A" w:rsidR="00ED28D2" w:rsidRDefault="00ED28D2">
      <w:pPr>
        <w:rPr>
          <w:bCs/>
          <w:sz w:val="20"/>
        </w:rPr>
      </w:pPr>
    </w:p>
    <w:p w14:paraId="5D283114" w14:textId="69EFC247" w:rsidR="00147B99" w:rsidRPr="00147B99" w:rsidRDefault="00A742BE" w:rsidP="00147B99">
      <w:pPr>
        <w:spacing w:line="264" w:lineRule="auto"/>
        <w:ind w:right="210"/>
        <w:rPr>
          <w:bCs/>
          <w:sz w:val="20"/>
        </w:rPr>
      </w:pPr>
      <w:r w:rsidRPr="004B1924">
        <w:rPr>
          <w:bCs/>
          <w:sz w:val="20"/>
        </w:rPr>
        <w:t>ILLUSTRATIVE EXAMPLE – Paid Up</w:t>
      </w:r>
    </w:p>
    <w:tbl>
      <w:tblPr>
        <w:tblStyle w:val="TableGrid"/>
        <w:tblW w:w="4099" w:type="dxa"/>
        <w:jc w:val="center"/>
        <w:tblInd w:w="0" w:type="dxa"/>
        <w:tblCellMar>
          <w:top w:w="39" w:type="dxa"/>
          <w:left w:w="107" w:type="dxa"/>
          <w:bottom w:w="2" w:type="dxa"/>
          <w:right w:w="52" w:type="dxa"/>
        </w:tblCellMar>
        <w:tblLook w:val="04A0" w:firstRow="1" w:lastRow="0" w:firstColumn="1" w:lastColumn="0" w:noHBand="0" w:noVBand="1"/>
      </w:tblPr>
      <w:tblGrid>
        <w:gridCol w:w="738"/>
        <w:gridCol w:w="1660"/>
        <w:gridCol w:w="1701"/>
      </w:tblGrid>
      <w:tr w:rsidR="004B1924" w:rsidRPr="004B1924" w14:paraId="0282F172" w14:textId="77777777" w:rsidTr="004B1924">
        <w:trPr>
          <w:trHeight w:val="234"/>
          <w:jc w:val="center"/>
        </w:trPr>
        <w:tc>
          <w:tcPr>
            <w:tcW w:w="4099" w:type="dxa"/>
            <w:gridSpan w:val="3"/>
            <w:tcBorders>
              <w:top w:val="single" w:sz="4" w:space="0" w:color="auto"/>
              <w:left w:val="single" w:sz="4" w:space="0" w:color="auto"/>
              <w:bottom w:val="nil"/>
              <w:right w:val="single" w:sz="4" w:space="0" w:color="auto"/>
            </w:tcBorders>
            <w:shd w:val="clear" w:color="auto" w:fill="auto"/>
          </w:tcPr>
          <w:p w14:paraId="486FC26F" w14:textId="77777777" w:rsidR="00A742BE" w:rsidRPr="004B1924" w:rsidRDefault="00A742BE" w:rsidP="00B96BC7">
            <w:pPr>
              <w:tabs>
                <w:tab w:val="center" w:pos="5827"/>
              </w:tabs>
              <w:spacing w:line="259" w:lineRule="auto"/>
            </w:pPr>
            <w:r w:rsidRPr="004B1924">
              <w:rPr>
                <w:rFonts w:eastAsia="Arial" w:cs="Arial"/>
                <w:b/>
                <w:sz w:val="20"/>
              </w:rPr>
              <w:t xml:space="preserve">Projected pension pot in today's money </w:t>
            </w:r>
            <w:r w:rsidRPr="004B1924">
              <w:rPr>
                <w:rFonts w:eastAsia="Arial" w:cs="Arial"/>
                <w:b/>
                <w:sz w:val="20"/>
              </w:rPr>
              <w:tab/>
            </w:r>
            <w:r w:rsidRPr="004B1924">
              <w:rPr>
                <w:sz w:val="20"/>
              </w:rPr>
              <w:t xml:space="preserve">  </w:t>
            </w:r>
          </w:p>
        </w:tc>
      </w:tr>
      <w:tr w:rsidR="00A742BE" w:rsidRPr="004B1924" w14:paraId="0C2D44FF" w14:textId="77777777" w:rsidTr="004B1924">
        <w:trPr>
          <w:trHeight w:val="925"/>
          <w:jc w:val="center"/>
        </w:trPr>
        <w:tc>
          <w:tcPr>
            <w:tcW w:w="738" w:type="dxa"/>
            <w:tcBorders>
              <w:top w:val="single" w:sz="4" w:space="0" w:color="F2F2F2"/>
              <w:left w:val="single" w:sz="4" w:space="0" w:color="auto"/>
              <w:bottom w:val="nil"/>
              <w:right w:val="single" w:sz="4" w:space="0" w:color="003A70"/>
            </w:tcBorders>
            <w:shd w:val="clear" w:color="auto" w:fill="auto"/>
            <w:vAlign w:val="center"/>
          </w:tcPr>
          <w:p w14:paraId="5C266711" w14:textId="77777777" w:rsidR="00A742BE" w:rsidRPr="004B1924" w:rsidRDefault="00A742BE" w:rsidP="00B96BC7">
            <w:pPr>
              <w:spacing w:line="259" w:lineRule="auto"/>
              <w:jc w:val="center"/>
            </w:pPr>
            <w:r w:rsidRPr="004B1924">
              <w:rPr>
                <w:sz w:val="20"/>
              </w:rPr>
              <w:t>Years</w:t>
            </w:r>
          </w:p>
        </w:tc>
        <w:tc>
          <w:tcPr>
            <w:tcW w:w="1660" w:type="dxa"/>
            <w:tcBorders>
              <w:top w:val="single" w:sz="4" w:space="0" w:color="000000"/>
              <w:left w:val="single" w:sz="4" w:space="0" w:color="003A70"/>
              <w:bottom w:val="nil"/>
              <w:right w:val="single" w:sz="4" w:space="0" w:color="FFFFFF"/>
            </w:tcBorders>
            <w:shd w:val="clear" w:color="auto" w:fill="auto"/>
            <w:vAlign w:val="center"/>
          </w:tcPr>
          <w:p w14:paraId="484CE459" w14:textId="77777777" w:rsidR="00A742BE" w:rsidRPr="004B1924" w:rsidRDefault="00A742BE" w:rsidP="00B96BC7">
            <w:pPr>
              <w:spacing w:line="259" w:lineRule="auto"/>
              <w:ind w:left="1"/>
              <w:jc w:val="center"/>
            </w:pPr>
            <w:r w:rsidRPr="004B1924">
              <w:rPr>
                <w:sz w:val="20"/>
              </w:rPr>
              <w:t>Before charges</w:t>
            </w:r>
          </w:p>
        </w:tc>
        <w:tc>
          <w:tcPr>
            <w:tcW w:w="1701" w:type="dxa"/>
            <w:tcBorders>
              <w:top w:val="single" w:sz="4" w:space="0" w:color="000000"/>
              <w:left w:val="single" w:sz="4" w:space="0" w:color="FFFFFF"/>
              <w:bottom w:val="nil"/>
              <w:right w:val="single" w:sz="4" w:space="0" w:color="003A70"/>
            </w:tcBorders>
            <w:shd w:val="clear" w:color="auto" w:fill="auto"/>
            <w:vAlign w:val="center"/>
          </w:tcPr>
          <w:p w14:paraId="48E0F6C2" w14:textId="77777777" w:rsidR="00A742BE" w:rsidRPr="004B1924" w:rsidRDefault="00A742BE" w:rsidP="00B96BC7">
            <w:pPr>
              <w:spacing w:line="259" w:lineRule="auto"/>
              <w:ind w:left="1"/>
              <w:jc w:val="center"/>
            </w:pPr>
            <w:r w:rsidRPr="004B1924">
              <w:rPr>
                <w:sz w:val="20"/>
              </w:rPr>
              <w:t>After all</w:t>
            </w:r>
          </w:p>
          <w:p w14:paraId="796754CD" w14:textId="77777777" w:rsidR="00A742BE" w:rsidRPr="004B1924" w:rsidRDefault="00A742BE" w:rsidP="00B96BC7">
            <w:pPr>
              <w:spacing w:line="259" w:lineRule="auto"/>
              <w:ind w:left="1"/>
              <w:jc w:val="center"/>
            </w:pPr>
            <w:r w:rsidRPr="004B1924">
              <w:rPr>
                <w:sz w:val="20"/>
              </w:rPr>
              <w:t>charges + costs deducted</w:t>
            </w:r>
          </w:p>
        </w:tc>
      </w:tr>
      <w:tr w:rsidR="00400A25" w:rsidRPr="004B1924" w14:paraId="4F22754D" w14:textId="77777777" w:rsidTr="004B1924">
        <w:trPr>
          <w:trHeight w:val="229"/>
          <w:jc w:val="center"/>
        </w:trPr>
        <w:tc>
          <w:tcPr>
            <w:tcW w:w="738" w:type="dxa"/>
            <w:tcBorders>
              <w:top w:val="nil"/>
              <w:left w:val="single" w:sz="4" w:space="0" w:color="auto"/>
              <w:bottom w:val="nil"/>
              <w:right w:val="single" w:sz="4" w:space="0" w:color="003A70"/>
            </w:tcBorders>
            <w:shd w:val="clear" w:color="auto" w:fill="auto"/>
          </w:tcPr>
          <w:p w14:paraId="3FBC9C51" w14:textId="77777777" w:rsidR="00400A25" w:rsidRPr="004B1924" w:rsidRDefault="00400A25" w:rsidP="00400A25">
            <w:pPr>
              <w:spacing w:line="259" w:lineRule="auto"/>
              <w:ind w:right="56"/>
              <w:jc w:val="right"/>
              <w:rPr>
                <w:sz w:val="20"/>
                <w:szCs w:val="20"/>
              </w:rPr>
            </w:pPr>
            <w:r w:rsidRPr="004B1924">
              <w:rPr>
                <w:sz w:val="20"/>
              </w:rPr>
              <w:t>1</w:t>
            </w:r>
          </w:p>
        </w:tc>
        <w:tc>
          <w:tcPr>
            <w:tcW w:w="1660" w:type="dxa"/>
            <w:tcBorders>
              <w:top w:val="nil"/>
              <w:left w:val="single" w:sz="4" w:space="0" w:color="003A70"/>
              <w:bottom w:val="nil"/>
              <w:right w:val="single" w:sz="4" w:space="0" w:color="FFFFFF"/>
            </w:tcBorders>
            <w:shd w:val="clear" w:color="auto" w:fill="auto"/>
            <w:vAlign w:val="center"/>
          </w:tcPr>
          <w:p w14:paraId="41C59350" w14:textId="65BD01E9" w:rsidR="00400A25" w:rsidRPr="004B1924" w:rsidRDefault="00400A25" w:rsidP="00400A25">
            <w:pPr>
              <w:spacing w:line="259" w:lineRule="auto"/>
              <w:ind w:left="1"/>
              <w:jc w:val="center"/>
              <w:rPr>
                <w:sz w:val="20"/>
                <w:szCs w:val="20"/>
              </w:rPr>
            </w:pPr>
            <w:r w:rsidRPr="004B1924">
              <w:rPr>
                <w:rFonts w:cs="Arial"/>
                <w:color w:val="000000"/>
                <w:sz w:val="20"/>
                <w:szCs w:val="20"/>
              </w:rPr>
              <w:t>100,000</w:t>
            </w:r>
          </w:p>
        </w:tc>
        <w:tc>
          <w:tcPr>
            <w:tcW w:w="1701" w:type="dxa"/>
            <w:tcBorders>
              <w:top w:val="nil"/>
              <w:left w:val="single" w:sz="4" w:space="0" w:color="FFFFFF"/>
              <w:bottom w:val="nil"/>
              <w:right w:val="single" w:sz="4" w:space="0" w:color="003A70"/>
            </w:tcBorders>
            <w:shd w:val="clear" w:color="auto" w:fill="auto"/>
            <w:vAlign w:val="center"/>
          </w:tcPr>
          <w:p w14:paraId="53B12D44" w14:textId="416E8D46" w:rsidR="00400A25" w:rsidRPr="004B1924" w:rsidRDefault="00400A25" w:rsidP="00400A25">
            <w:pPr>
              <w:spacing w:line="259" w:lineRule="auto"/>
              <w:ind w:left="1"/>
              <w:jc w:val="center"/>
              <w:rPr>
                <w:sz w:val="20"/>
                <w:szCs w:val="20"/>
              </w:rPr>
            </w:pPr>
            <w:r w:rsidRPr="004B1924">
              <w:rPr>
                <w:rFonts w:cs="Arial"/>
                <w:color w:val="000000"/>
                <w:sz w:val="20"/>
                <w:szCs w:val="20"/>
              </w:rPr>
              <w:t>100,000</w:t>
            </w:r>
          </w:p>
        </w:tc>
      </w:tr>
      <w:tr w:rsidR="00400A25" w:rsidRPr="004B1924" w14:paraId="7341A272" w14:textId="77777777" w:rsidTr="004B1924">
        <w:trPr>
          <w:trHeight w:val="230"/>
          <w:jc w:val="center"/>
        </w:trPr>
        <w:tc>
          <w:tcPr>
            <w:tcW w:w="738" w:type="dxa"/>
            <w:tcBorders>
              <w:top w:val="nil"/>
              <w:left w:val="single" w:sz="4" w:space="0" w:color="auto"/>
              <w:right w:val="single" w:sz="4" w:space="0" w:color="003A70"/>
            </w:tcBorders>
            <w:shd w:val="clear" w:color="auto" w:fill="auto"/>
          </w:tcPr>
          <w:p w14:paraId="77FADE84" w14:textId="77777777" w:rsidR="00400A25" w:rsidRPr="004B1924" w:rsidRDefault="00400A25" w:rsidP="00400A25">
            <w:pPr>
              <w:ind w:right="56"/>
              <w:jc w:val="right"/>
              <w:rPr>
                <w:sz w:val="20"/>
                <w:szCs w:val="20"/>
              </w:rPr>
            </w:pPr>
            <w:r w:rsidRPr="004B1924">
              <w:rPr>
                <w:sz w:val="20"/>
              </w:rPr>
              <w:t>3</w:t>
            </w:r>
          </w:p>
        </w:tc>
        <w:tc>
          <w:tcPr>
            <w:tcW w:w="1660" w:type="dxa"/>
            <w:tcBorders>
              <w:top w:val="nil"/>
              <w:left w:val="single" w:sz="4" w:space="0" w:color="003A70"/>
              <w:right w:val="single" w:sz="4" w:space="0" w:color="FFFFFF"/>
            </w:tcBorders>
            <w:shd w:val="clear" w:color="auto" w:fill="auto"/>
            <w:vAlign w:val="center"/>
          </w:tcPr>
          <w:p w14:paraId="6E375C18" w14:textId="1905A864" w:rsidR="00400A25" w:rsidRPr="004B1924" w:rsidRDefault="00400A25" w:rsidP="00400A25">
            <w:pPr>
              <w:ind w:left="1"/>
              <w:jc w:val="center"/>
              <w:rPr>
                <w:rFonts w:cs="Calibri"/>
                <w:color w:val="3F3F3F"/>
                <w:sz w:val="20"/>
                <w:szCs w:val="20"/>
              </w:rPr>
            </w:pPr>
            <w:r w:rsidRPr="004B1924">
              <w:rPr>
                <w:rFonts w:cs="Arial"/>
                <w:color w:val="000000"/>
                <w:sz w:val="20"/>
                <w:szCs w:val="20"/>
              </w:rPr>
              <w:t>112,486</w:t>
            </w:r>
          </w:p>
        </w:tc>
        <w:tc>
          <w:tcPr>
            <w:tcW w:w="1701" w:type="dxa"/>
            <w:tcBorders>
              <w:top w:val="nil"/>
              <w:left w:val="single" w:sz="4" w:space="0" w:color="FFFFFF"/>
              <w:right w:val="single" w:sz="4" w:space="0" w:color="003A70"/>
            </w:tcBorders>
            <w:shd w:val="clear" w:color="auto" w:fill="auto"/>
            <w:vAlign w:val="center"/>
          </w:tcPr>
          <w:p w14:paraId="5CD50585" w14:textId="3A990C6A" w:rsidR="00400A25" w:rsidRPr="004B1924" w:rsidRDefault="00400A25" w:rsidP="00400A25">
            <w:pPr>
              <w:ind w:left="1"/>
              <w:jc w:val="center"/>
              <w:rPr>
                <w:rFonts w:cs="Calibri"/>
                <w:color w:val="3F3F3F"/>
                <w:sz w:val="20"/>
                <w:szCs w:val="20"/>
              </w:rPr>
            </w:pPr>
            <w:r w:rsidRPr="004B1924">
              <w:rPr>
                <w:rFonts w:cs="Arial"/>
                <w:color w:val="000000"/>
                <w:sz w:val="20"/>
                <w:szCs w:val="20"/>
              </w:rPr>
              <w:t>106,121</w:t>
            </w:r>
          </w:p>
        </w:tc>
      </w:tr>
      <w:tr w:rsidR="00400A25" w:rsidRPr="004B1924" w14:paraId="28F695E5" w14:textId="77777777" w:rsidTr="004B1924">
        <w:trPr>
          <w:trHeight w:val="230"/>
          <w:jc w:val="center"/>
        </w:trPr>
        <w:tc>
          <w:tcPr>
            <w:tcW w:w="738" w:type="dxa"/>
            <w:tcBorders>
              <w:top w:val="nil"/>
              <w:left w:val="single" w:sz="4" w:space="0" w:color="auto"/>
              <w:right w:val="single" w:sz="4" w:space="0" w:color="003A70"/>
            </w:tcBorders>
            <w:shd w:val="clear" w:color="auto" w:fill="auto"/>
          </w:tcPr>
          <w:p w14:paraId="3801D52B" w14:textId="77777777" w:rsidR="00400A25" w:rsidRPr="004B1924" w:rsidRDefault="00400A25" w:rsidP="00400A25">
            <w:pPr>
              <w:ind w:right="56"/>
              <w:jc w:val="right"/>
              <w:rPr>
                <w:sz w:val="20"/>
                <w:szCs w:val="20"/>
              </w:rPr>
            </w:pPr>
            <w:r w:rsidRPr="004B1924">
              <w:rPr>
                <w:sz w:val="20"/>
              </w:rPr>
              <w:t>5</w:t>
            </w:r>
          </w:p>
        </w:tc>
        <w:tc>
          <w:tcPr>
            <w:tcW w:w="1660" w:type="dxa"/>
            <w:tcBorders>
              <w:top w:val="nil"/>
              <w:left w:val="single" w:sz="4" w:space="0" w:color="003A70"/>
              <w:right w:val="single" w:sz="4" w:space="0" w:color="FFFFFF"/>
            </w:tcBorders>
            <w:shd w:val="clear" w:color="auto" w:fill="auto"/>
            <w:vAlign w:val="center"/>
          </w:tcPr>
          <w:p w14:paraId="395B9FDF" w14:textId="2AFA9135" w:rsidR="00400A25" w:rsidRPr="004B1924" w:rsidRDefault="00400A25" w:rsidP="00400A25">
            <w:pPr>
              <w:ind w:left="1"/>
              <w:jc w:val="center"/>
              <w:rPr>
                <w:rFonts w:cs="Calibri"/>
                <w:color w:val="3F3F3F"/>
                <w:sz w:val="20"/>
                <w:szCs w:val="20"/>
              </w:rPr>
            </w:pPr>
            <w:r w:rsidRPr="004B1924">
              <w:rPr>
                <w:rFonts w:cs="Arial"/>
                <w:color w:val="000000"/>
                <w:sz w:val="20"/>
                <w:szCs w:val="20"/>
              </w:rPr>
              <w:t>121,665</w:t>
            </w:r>
          </w:p>
        </w:tc>
        <w:tc>
          <w:tcPr>
            <w:tcW w:w="1701" w:type="dxa"/>
            <w:tcBorders>
              <w:top w:val="nil"/>
              <w:left w:val="single" w:sz="4" w:space="0" w:color="FFFFFF"/>
              <w:right w:val="single" w:sz="4" w:space="0" w:color="003A70"/>
            </w:tcBorders>
            <w:shd w:val="clear" w:color="auto" w:fill="auto"/>
            <w:vAlign w:val="center"/>
          </w:tcPr>
          <w:p w14:paraId="0B111245" w14:textId="6E5E925E" w:rsidR="00400A25" w:rsidRPr="004B1924" w:rsidRDefault="00400A25" w:rsidP="00400A25">
            <w:pPr>
              <w:ind w:left="1"/>
              <w:jc w:val="center"/>
              <w:rPr>
                <w:rFonts w:cs="Calibri"/>
                <w:color w:val="3F3F3F"/>
                <w:sz w:val="20"/>
                <w:szCs w:val="20"/>
              </w:rPr>
            </w:pPr>
            <w:r w:rsidRPr="004B1924">
              <w:rPr>
                <w:rFonts w:cs="Arial"/>
                <w:color w:val="000000"/>
                <w:sz w:val="20"/>
                <w:szCs w:val="20"/>
              </w:rPr>
              <w:t>110,408</w:t>
            </w:r>
          </w:p>
        </w:tc>
      </w:tr>
      <w:tr w:rsidR="00400A25" w:rsidRPr="004B1924" w14:paraId="1D96A5D3" w14:textId="77777777" w:rsidTr="004B1924">
        <w:trPr>
          <w:trHeight w:val="230"/>
          <w:jc w:val="center"/>
        </w:trPr>
        <w:tc>
          <w:tcPr>
            <w:tcW w:w="738" w:type="dxa"/>
            <w:tcBorders>
              <w:top w:val="nil"/>
              <w:left w:val="single" w:sz="4" w:space="0" w:color="auto"/>
              <w:right w:val="single" w:sz="4" w:space="0" w:color="003A70"/>
            </w:tcBorders>
            <w:shd w:val="clear" w:color="auto" w:fill="auto"/>
          </w:tcPr>
          <w:p w14:paraId="16E127D8" w14:textId="77777777" w:rsidR="00400A25" w:rsidRPr="004B1924" w:rsidRDefault="00400A25" w:rsidP="00400A25">
            <w:pPr>
              <w:ind w:right="56"/>
              <w:jc w:val="right"/>
              <w:rPr>
                <w:sz w:val="20"/>
                <w:szCs w:val="20"/>
              </w:rPr>
            </w:pPr>
            <w:r w:rsidRPr="004B1924">
              <w:rPr>
                <w:sz w:val="20"/>
              </w:rPr>
              <w:t>10</w:t>
            </w:r>
          </w:p>
        </w:tc>
        <w:tc>
          <w:tcPr>
            <w:tcW w:w="1660" w:type="dxa"/>
            <w:tcBorders>
              <w:top w:val="nil"/>
              <w:left w:val="single" w:sz="4" w:space="0" w:color="003A70"/>
              <w:right w:val="single" w:sz="4" w:space="0" w:color="FFFFFF"/>
            </w:tcBorders>
            <w:shd w:val="clear" w:color="auto" w:fill="auto"/>
            <w:vAlign w:val="center"/>
          </w:tcPr>
          <w:p w14:paraId="56C23F0B" w14:textId="605718FE" w:rsidR="00400A25" w:rsidRPr="004B1924" w:rsidRDefault="00400A25" w:rsidP="00400A25">
            <w:pPr>
              <w:ind w:left="1"/>
              <w:jc w:val="center"/>
              <w:rPr>
                <w:sz w:val="20"/>
                <w:szCs w:val="20"/>
              </w:rPr>
            </w:pPr>
            <w:r w:rsidRPr="004B1924">
              <w:rPr>
                <w:rFonts w:cs="Arial"/>
                <w:color w:val="000000"/>
                <w:sz w:val="20"/>
                <w:szCs w:val="20"/>
              </w:rPr>
              <w:t>148,024</w:t>
            </w:r>
          </w:p>
        </w:tc>
        <w:tc>
          <w:tcPr>
            <w:tcW w:w="1701" w:type="dxa"/>
            <w:tcBorders>
              <w:top w:val="nil"/>
              <w:left w:val="single" w:sz="4" w:space="0" w:color="FFFFFF"/>
              <w:right w:val="single" w:sz="4" w:space="0" w:color="003A70"/>
            </w:tcBorders>
            <w:shd w:val="clear" w:color="auto" w:fill="auto"/>
            <w:vAlign w:val="center"/>
          </w:tcPr>
          <w:p w14:paraId="74F95DF6" w14:textId="64B3A0B7" w:rsidR="00400A25" w:rsidRPr="004B1924" w:rsidRDefault="00400A25" w:rsidP="00400A25">
            <w:pPr>
              <w:ind w:left="1"/>
              <w:jc w:val="center"/>
              <w:rPr>
                <w:sz w:val="20"/>
                <w:szCs w:val="20"/>
              </w:rPr>
            </w:pPr>
            <w:r w:rsidRPr="004B1924">
              <w:rPr>
                <w:rFonts w:cs="Arial"/>
                <w:color w:val="000000"/>
                <w:sz w:val="20"/>
                <w:szCs w:val="20"/>
              </w:rPr>
              <w:t>121,899</w:t>
            </w:r>
          </w:p>
        </w:tc>
      </w:tr>
      <w:tr w:rsidR="00400A25" w:rsidRPr="004B1924" w14:paraId="719AF067" w14:textId="77777777" w:rsidTr="004B1924">
        <w:trPr>
          <w:trHeight w:val="230"/>
          <w:jc w:val="center"/>
        </w:trPr>
        <w:tc>
          <w:tcPr>
            <w:tcW w:w="738" w:type="dxa"/>
            <w:tcBorders>
              <w:top w:val="nil"/>
              <w:left w:val="single" w:sz="4" w:space="0" w:color="auto"/>
              <w:right w:val="single" w:sz="4" w:space="0" w:color="003A70"/>
            </w:tcBorders>
            <w:shd w:val="clear" w:color="auto" w:fill="auto"/>
          </w:tcPr>
          <w:p w14:paraId="37644214" w14:textId="77777777" w:rsidR="00400A25" w:rsidRPr="004B1924" w:rsidRDefault="00400A25" w:rsidP="00400A25">
            <w:pPr>
              <w:ind w:right="56"/>
              <w:jc w:val="right"/>
              <w:rPr>
                <w:sz w:val="20"/>
                <w:szCs w:val="20"/>
              </w:rPr>
            </w:pPr>
            <w:r w:rsidRPr="004B1924">
              <w:rPr>
                <w:sz w:val="20"/>
              </w:rPr>
              <w:t>15</w:t>
            </w:r>
          </w:p>
        </w:tc>
        <w:tc>
          <w:tcPr>
            <w:tcW w:w="1660" w:type="dxa"/>
            <w:tcBorders>
              <w:top w:val="nil"/>
              <w:left w:val="single" w:sz="4" w:space="0" w:color="003A70"/>
              <w:right w:val="single" w:sz="4" w:space="0" w:color="FFFFFF"/>
            </w:tcBorders>
            <w:shd w:val="clear" w:color="auto" w:fill="auto"/>
            <w:vAlign w:val="center"/>
          </w:tcPr>
          <w:p w14:paraId="1C47DC79" w14:textId="01C883A5" w:rsidR="00400A25" w:rsidRPr="004B1924" w:rsidRDefault="00400A25" w:rsidP="00400A25">
            <w:pPr>
              <w:ind w:left="1"/>
              <w:jc w:val="center"/>
              <w:rPr>
                <w:sz w:val="20"/>
                <w:szCs w:val="20"/>
              </w:rPr>
            </w:pPr>
            <w:r w:rsidRPr="004B1924">
              <w:rPr>
                <w:rFonts w:cs="Arial"/>
                <w:color w:val="000000"/>
                <w:sz w:val="20"/>
                <w:szCs w:val="20"/>
              </w:rPr>
              <w:t>180,094</w:t>
            </w:r>
          </w:p>
        </w:tc>
        <w:tc>
          <w:tcPr>
            <w:tcW w:w="1701" w:type="dxa"/>
            <w:tcBorders>
              <w:top w:val="nil"/>
              <w:left w:val="single" w:sz="4" w:space="0" w:color="FFFFFF"/>
              <w:right w:val="single" w:sz="4" w:space="0" w:color="003A70"/>
            </w:tcBorders>
            <w:shd w:val="clear" w:color="auto" w:fill="auto"/>
            <w:vAlign w:val="center"/>
          </w:tcPr>
          <w:p w14:paraId="0BE1D451" w14:textId="32EC6454" w:rsidR="00400A25" w:rsidRPr="004B1924" w:rsidRDefault="00400A25" w:rsidP="00400A25">
            <w:pPr>
              <w:ind w:left="1"/>
              <w:jc w:val="center"/>
              <w:rPr>
                <w:sz w:val="20"/>
                <w:szCs w:val="20"/>
              </w:rPr>
            </w:pPr>
            <w:r w:rsidRPr="004B1924">
              <w:rPr>
                <w:rFonts w:cs="Arial"/>
                <w:color w:val="000000"/>
                <w:sz w:val="20"/>
                <w:szCs w:val="20"/>
              </w:rPr>
              <w:t>134,587</w:t>
            </w:r>
          </w:p>
        </w:tc>
      </w:tr>
      <w:tr w:rsidR="00400A25" w:rsidRPr="004B1924" w14:paraId="02CBD316" w14:textId="77777777" w:rsidTr="004B1924">
        <w:trPr>
          <w:trHeight w:val="230"/>
          <w:jc w:val="center"/>
        </w:trPr>
        <w:tc>
          <w:tcPr>
            <w:tcW w:w="738" w:type="dxa"/>
            <w:tcBorders>
              <w:top w:val="nil"/>
              <w:left w:val="single" w:sz="4" w:space="0" w:color="auto"/>
              <w:right w:val="single" w:sz="4" w:space="0" w:color="003A70"/>
            </w:tcBorders>
            <w:shd w:val="clear" w:color="auto" w:fill="auto"/>
          </w:tcPr>
          <w:p w14:paraId="60059C79" w14:textId="77777777" w:rsidR="00400A25" w:rsidRPr="004B1924" w:rsidRDefault="00400A25" w:rsidP="00400A25">
            <w:pPr>
              <w:ind w:right="56"/>
              <w:jc w:val="right"/>
              <w:rPr>
                <w:sz w:val="20"/>
                <w:szCs w:val="20"/>
              </w:rPr>
            </w:pPr>
            <w:r w:rsidRPr="004B1924">
              <w:rPr>
                <w:sz w:val="20"/>
              </w:rPr>
              <w:t>20</w:t>
            </w:r>
          </w:p>
        </w:tc>
        <w:tc>
          <w:tcPr>
            <w:tcW w:w="1660" w:type="dxa"/>
            <w:tcBorders>
              <w:top w:val="nil"/>
              <w:left w:val="single" w:sz="4" w:space="0" w:color="003A70"/>
              <w:right w:val="single" w:sz="4" w:space="0" w:color="FFFFFF"/>
            </w:tcBorders>
            <w:shd w:val="clear" w:color="auto" w:fill="auto"/>
            <w:vAlign w:val="center"/>
          </w:tcPr>
          <w:p w14:paraId="5250ADF0" w14:textId="57FBC608" w:rsidR="00400A25" w:rsidRPr="004B1924" w:rsidRDefault="00400A25" w:rsidP="00400A25">
            <w:pPr>
              <w:ind w:left="1"/>
              <w:jc w:val="center"/>
              <w:rPr>
                <w:sz w:val="20"/>
                <w:szCs w:val="20"/>
              </w:rPr>
            </w:pPr>
            <w:r w:rsidRPr="004B1924">
              <w:rPr>
                <w:rFonts w:cs="Arial"/>
                <w:color w:val="000000"/>
                <w:sz w:val="20"/>
                <w:szCs w:val="20"/>
              </w:rPr>
              <w:t>219,112</w:t>
            </w:r>
          </w:p>
        </w:tc>
        <w:tc>
          <w:tcPr>
            <w:tcW w:w="1701" w:type="dxa"/>
            <w:tcBorders>
              <w:top w:val="nil"/>
              <w:left w:val="single" w:sz="4" w:space="0" w:color="FFFFFF"/>
              <w:right w:val="single" w:sz="4" w:space="0" w:color="003A70"/>
            </w:tcBorders>
            <w:shd w:val="clear" w:color="auto" w:fill="auto"/>
            <w:vAlign w:val="center"/>
          </w:tcPr>
          <w:p w14:paraId="7C2DC42C" w14:textId="348DB719" w:rsidR="00400A25" w:rsidRPr="004B1924" w:rsidRDefault="00400A25" w:rsidP="00400A25">
            <w:pPr>
              <w:ind w:left="1"/>
              <w:jc w:val="center"/>
              <w:rPr>
                <w:sz w:val="20"/>
                <w:szCs w:val="20"/>
              </w:rPr>
            </w:pPr>
            <w:r w:rsidRPr="004B1924">
              <w:rPr>
                <w:rFonts w:cs="Arial"/>
                <w:color w:val="000000"/>
                <w:sz w:val="20"/>
                <w:szCs w:val="20"/>
              </w:rPr>
              <w:t>148,595</w:t>
            </w:r>
          </w:p>
        </w:tc>
      </w:tr>
      <w:tr w:rsidR="00400A25" w:rsidRPr="004B1924" w14:paraId="6E698055" w14:textId="77777777" w:rsidTr="004B1924">
        <w:trPr>
          <w:trHeight w:val="230"/>
          <w:jc w:val="center"/>
        </w:trPr>
        <w:tc>
          <w:tcPr>
            <w:tcW w:w="738" w:type="dxa"/>
            <w:tcBorders>
              <w:top w:val="nil"/>
              <w:left w:val="single" w:sz="4" w:space="0" w:color="auto"/>
              <w:right w:val="single" w:sz="4" w:space="0" w:color="003A70"/>
            </w:tcBorders>
            <w:shd w:val="clear" w:color="auto" w:fill="auto"/>
          </w:tcPr>
          <w:p w14:paraId="606D9349" w14:textId="77777777" w:rsidR="00400A25" w:rsidRPr="004B1924" w:rsidRDefault="00400A25" w:rsidP="00400A25">
            <w:pPr>
              <w:ind w:right="56"/>
              <w:jc w:val="right"/>
              <w:rPr>
                <w:sz w:val="20"/>
                <w:szCs w:val="20"/>
              </w:rPr>
            </w:pPr>
            <w:r w:rsidRPr="004B1924">
              <w:rPr>
                <w:sz w:val="20"/>
              </w:rPr>
              <w:t>25</w:t>
            </w:r>
          </w:p>
        </w:tc>
        <w:tc>
          <w:tcPr>
            <w:tcW w:w="1660" w:type="dxa"/>
            <w:tcBorders>
              <w:top w:val="nil"/>
              <w:left w:val="single" w:sz="4" w:space="0" w:color="003A70"/>
              <w:right w:val="single" w:sz="4" w:space="0" w:color="FFFFFF"/>
            </w:tcBorders>
            <w:shd w:val="clear" w:color="auto" w:fill="auto"/>
            <w:vAlign w:val="center"/>
          </w:tcPr>
          <w:p w14:paraId="66B83C60" w14:textId="4F0545FF" w:rsidR="00400A25" w:rsidRPr="004B1924" w:rsidRDefault="00400A25" w:rsidP="00400A25">
            <w:pPr>
              <w:ind w:left="1"/>
              <w:jc w:val="center"/>
              <w:rPr>
                <w:sz w:val="20"/>
                <w:szCs w:val="20"/>
              </w:rPr>
            </w:pPr>
            <w:r w:rsidRPr="004B1924">
              <w:rPr>
                <w:rFonts w:cs="Arial"/>
                <w:color w:val="000000"/>
                <w:sz w:val="20"/>
                <w:szCs w:val="20"/>
              </w:rPr>
              <w:t>266,584</w:t>
            </w:r>
          </w:p>
        </w:tc>
        <w:tc>
          <w:tcPr>
            <w:tcW w:w="1701" w:type="dxa"/>
            <w:tcBorders>
              <w:top w:val="nil"/>
              <w:left w:val="single" w:sz="4" w:space="0" w:color="FFFFFF"/>
              <w:right w:val="single" w:sz="4" w:space="0" w:color="003A70"/>
            </w:tcBorders>
            <w:shd w:val="clear" w:color="auto" w:fill="auto"/>
            <w:vAlign w:val="center"/>
          </w:tcPr>
          <w:p w14:paraId="44F10C16" w14:textId="7E1CB497" w:rsidR="00400A25" w:rsidRPr="004B1924" w:rsidRDefault="00400A25" w:rsidP="00400A25">
            <w:pPr>
              <w:ind w:left="1"/>
              <w:jc w:val="center"/>
              <w:rPr>
                <w:sz w:val="20"/>
                <w:szCs w:val="20"/>
              </w:rPr>
            </w:pPr>
            <w:r w:rsidRPr="004B1924">
              <w:rPr>
                <w:rFonts w:cs="Arial"/>
                <w:color w:val="000000"/>
                <w:sz w:val="20"/>
                <w:szCs w:val="20"/>
              </w:rPr>
              <w:t>164,061</w:t>
            </w:r>
          </w:p>
        </w:tc>
      </w:tr>
      <w:tr w:rsidR="00400A25" w:rsidRPr="004B1924" w14:paraId="2CD000FF" w14:textId="77777777" w:rsidTr="004B1924">
        <w:trPr>
          <w:trHeight w:val="29"/>
          <w:jc w:val="center"/>
        </w:trPr>
        <w:tc>
          <w:tcPr>
            <w:tcW w:w="738" w:type="dxa"/>
            <w:tcBorders>
              <w:top w:val="nil"/>
              <w:left w:val="single" w:sz="4" w:space="0" w:color="auto"/>
              <w:bottom w:val="single" w:sz="4" w:space="0" w:color="auto"/>
              <w:right w:val="single" w:sz="4" w:space="0" w:color="003A70"/>
            </w:tcBorders>
            <w:shd w:val="clear" w:color="auto" w:fill="auto"/>
          </w:tcPr>
          <w:p w14:paraId="606D1CA3" w14:textId="77777777" w:rsidR="00400A25" w:rsidRPr="004B1924" w:rsidRDefault="00400A25" w:rsidP="00400A25">
            <w:pPr>
              <w:ind w:right="56"/>
              <w:jc w:val="right"/>
              <w:rPr>
                <w:sz w:val="20"/>
                <w:szCs w:val="20"/>
              </w:rPr>
            </w:pPr>
            <w:r w:rsidRPr="004B1924">
              <w:rPr>
                <w:sz w:val="20"/>
              </w:rPr>
              <w:t>30</w:t>
            </w:r>
          </w:p>
        </w:tc>
        <w:tc>
          <w:tcPr>
            <w:tcW w:w="1660" w:type="dxa"/>
            <w:tcBorders>
              <w:top w:val="nil"/>
              <w:left w:val="single" w:sz="4" w:space="0" w:color="003A70"/>
              <w:bottom w:val="single" w:sz="4" w:space="0" w:color="auto"/>
              <w:right w:val="single" w:sz="4" w:space="0" w:color="FFFFFF"/>
            </w:tcBorders>
            <w:shd w:val="clear" w:color="auto" w:fill="auto"/>
            <w:vAlign w:val="center"/>
          </w:tcPr>
          <w:p w14:paraId="54F07873" w14:textId="3EF588FE" w:rsidR="00400A25" w:rsidRPr="004B1924" w:rsidRDefault="00400A25" w:rsidP="00400A25">
            <w:pPr>
              <w:ind w:left="1"/>
              <w:jc w:val="center"/>
              <w:rPr>
                <w:rFonts w:cs="Calibri"/>
                <w:color w:val="3F3F3F"/>
                <w:sz w:val="20"/>
                <w:szCs w:val="20"/>
              </w:rPr>
            </w:pPr>
            <w:r w:rsidRPr="004B1924">
              <w:rPr>
                <w:rFonts w:cs="Arial"/>
                <w:color w:val="000000"/>
                <w:sz w:val="20"/>
                <w:szCs w:val="20"/>
              </w:rPr>
              <w:t>324,340</w:t>
            </w:r>
          </w:p>
        </w:tc>
        <w:tc>
          <w:tcPr>
            <w:tcW w:w="1701" w:type="dxa"/>
            <w:tcBorders>
              <w:top w:val="nil"/>
              <w:left w:val="single" w:sz="4" w:space="0" w:color="FFFFFF"/>
              <w:bottom w:val="single" w:sz="4" w:space="0" w:color="auto"/>
              <w:right w:val="single" w:sz="4" w:space="0" w:color="003A70"/>
            </w:tcBorders>
            <w:shd w:val="clear" w:color="auto" w:fill="auto"/>
            <w:vAlign w:val="center"/>
          </w:tcPr>
          <w:p w14:paraId="2849A873" w14:textId="39C379F4" w:rsidR="00400A25" w:rsidRPr="004B1924" w:rsidRDefault="00400A25" w:rsidP="00400A25">
            <w:pPr>
              <w:ind w:left="1"/>
              <w:jc w:val="center"/>
              <w:rPr>
                <w:rFonts w:cs="Calibri"/>
                <w:color w:val="3F3F3F"/>
                <w:sz w:val="20"/>
                <w:szCs w:val="20"/>
              </w:rPr>
            </w:pPr>
            <w:r w:rsidRPr="004B1924">
              <w:rPr>
                <w:rFonts w:cs="Arial"/>
                <w:color w:val="000000"/>
                <w:sz w:val="20"/>
                <w:szCs w:val="20"/>
              </w:rPr>
              <w:t>181,136</w:t>
            </w:r>
          </w:p>
        </w:tc>
      </w:tr>
    </w:tbl>
    <w:p w14:paraId="42C2F979" w14:textId="77777777" w:rsidR="00A742BE" w:rsidRPr="004B1924" w:rsidRDefault="00A742BE" w:rsidP="00A742BE">
      <w:pPr>
        <w:spacing w:line="264" w:lineRule="auto"/>
        <w:ind w:right="210"/>
        <w:rPr>
          <w:rFonts w:cs="Arial"/>
          <w:b/>
          <w:bCs/>
          <w:color w:val="000000"/>
          <w:sz w:val="20"/>
          <w:lang w:eastAsia="en-GB"/>
        </w:rPr>
      </w:pPr>
    </w:p>
    <w:p w14:paraId="4CE971B2" w14:textId="77777777" w:rsidR="00A742BE" w:rsidRPr="004B1924" w:rsidRDefault="00A742BE" w:rsidP="00A742BE">
      <w:pPr>
        <w:ind w:firstLine="559"/>
      </w:pPr>
      <w:r w:rsidRPr="004B1924">
        <w:rPr>
          <w:rFonts w:eastAsia="Arial" w:cs="Arial"/>
          <w:b/>
          <w:sz w:val="20"/>
        </w:rPr>
        <w:lastRenderedPageBreak/>
        <w:t xml:space="preserve">Notes </w:t>
      </w:r>
    </w:p>
    <w:p w14:paraId="32BB923B" w14:textId="77777777" w:rsidR="00A742BE" w:rsidRPr="004B1924" w:rsidRDefault="00A742BE" w:rsidP="00A742BE">
      <w:pPr>
        <w:numPr>
          <w:ilvl w:val="0"/>
          <w:numId w:val="4"/>
        </w:numPr>
        <w:spacing w:line="264" w:lineRule="auto"/>
        <w:ind w:right="210" w:hanging="222"/>
      </w:pPr>
      <w:r w:rsidRPr="004B1924">
        <w:rPr>
          <w:sz w:val="20"/>
        </w:rPr>
        <w:t xml:space="preserve">Projected pension pot values are shown in today's terms and do not need to be reduced further for the effect of future inflation. </w:t>
      </w:r>
    </w:p>
    <w:p w14:paraId="60E5AFBB" w14:textId="77777777" w:rsidR="00A742BE" w:rsidRPr="004B1924" w:rsidRDefault="00A742BE" w:rsidP="00A742BE">
      <w:pPr>
        <w:numPr>
          <w:ilvl w:val="0"/>
          <w:numId w:val="4"/>
        </w:numPr>
        <w:spacing w:line="264" w:lineRule="auto"/>
        <w:ind w:left="780" w:right="210" w:hanging="222"/>
      </w:pPr>
      <w:r w:rsidRPr="004B1924">
        <w:rPr>
          <w:sz w:val="20"/>
        </w:rPr>
        <w:t>It is assumed that the member is aged 35 at the start of the projection and retires after 30 years at age 65.</w:t>
      </w:r>
    </w:p>
    <w:p w14:paraId="66939204" w14:textId="66AFCB6F" w:rsidR="00A742BE" w:rsidRPr="004B1924" w:rsidRDefault="00A742BE" w:rsidP="00A742BE">
      <w:pPr>
        <w:numPr>
          <w:ilvl w:val="0"/>
          <w:numId w:val="4"/>
        </w:numPr>
        <w:spacing w:line="264" w:lineRule="auto"/>
        <w:ind w:left="780" w:right="210" w:hanging="222"/>
      </w:pPr>
      <w:r w:rsidRPr="004B1924">
        <w:rPr>
          <w:sz w:val="20"/>
        </w:rPr>
        <w:t>The starting pot size is assumed to be £100,000.</w:t>
      </w:r>
    </w:p>
    <w:p w14:paraId="465591AC" w14:textId="77777777" w:rsidR="00A742BE" w:rsidRPr="004B1924" w:rsidRDefault="00A742BE" w:rsidP="00A742BE">
      <w:pPr>
        <w:numPr>
          <w:ilvl w:val="0"/>
          <w:numId w:val="4"/>
        </w:numPr>
        <w:spacing w:line="264" w:lineRule="auto"/>
        <w:ind w:left="780" w:right="210" w:hanging="222"/>
      </w:pPr>
      <w:r w:rsidRPr="004B1924">
        <w:rPr>
          <w:sz w:val="20"/>
        </w:rPr>
        <w:t>Inflation is assumed to be 2.5% each year.</w:t>
      </w:r>
    </w:p>
    <w:p w14:paraId="5BC254BD" w14:textId="77777777" w:rsidR="00A742BE" w:rsidRPr="004B1924" w:rsidRDefault="00A742BE" w:rsidP="00A742BE">
      <w:pPr>
        <w:numPr>
          <w:ilvl w:val="0"/>
          <w:numId w:val="4"/>
        </w:numPr>
        <w:spacing w:line="264" w:lineRule="auto"/>
        <w:ind w:left="780" w:right="210" w:hanging="222"/>
      </w:pPr>
      <w:r w:rsidRPr="004B1924">
        <w:rPr>
          <w:sz w:val="20"/>
        </w:rPr>
        <w:t>It is assumed that no further contributions are paid.</w:t>
      </w:r>
    </w:p>
    <w:p w14:paraId="4939CE05" w14:textId="77777777" w:rsidR="00A742BE" w:rsidRPr="004B1924" w:rsidRDefault="00A742BE" w:rsidP="00A742BE">
      <w:pPr>
        <w:numPr>
          <w:ilvl w:val="0"/>
          <w:numId w:val="4"/>
        </w:numPr>
        <w:spacing w:line="264" w:lineRule="auto"/>
        <w:ind w:left="780" w:right="210" w:hanging="222"/>
      </w:pPr>
      <w:r w:rsidRPr="004B1924">
        <w:rPr>
          <w:sz w:val="20"/>
        </w:rPr>
        <w:t>Values shown are estimates and are not guaranteed.</w:t>
      </w:r>
    </w:p>
    <w:p w14:paraId="49A17D38" w14:textId="7A3B7FCD" w:rsidR="00A742BE" w:rsidRPr="004B1924" w:rsidRDefault="00A742BE" w:rsidP="00A742BE">
      <w:pPr>
        <w:numPr>
          <w:ilvl w:val="0"/>
          <w:numId w:val="4"/>
        </w:numPr>
        <w:spacing w:line="264" w:lineRule="auto"/>
        <w:ind w:left="780" w:right="210" w:hanging="222"/>
        <w:rPr>
          <w:sz w:val="20"/>
        </w:rPr>
      </w:pPr>
      <w:r w:rsidRPr="004B1924">
        <w:rPr>
          <w:sz w:val="20"/>
        </w:rPr>
        <w:t xml:space="preserve">The charges assumed are 2% each year which </w:t>
      </w:r>
      <w:r w:rsidR="00F03C9B">
        <w:rPr>
          <w:sz w:val="20"/>
        </w:rPr>
        <w:t xml:space="preserve">is </w:t>
      </w:r>
      <w:r w:rsidRPr="004B1924">
        <w:rPr>
          <w:sz w:val="20"/>
        </w:rPr>
        <w:t>based on the investment managers estimates.</w:t>
      </w:r>
    </w:p>
    <w:p w14:paraId="534D9A4B" w14:textId="1955355D" w:rsidR="00A742BE" w:rsidRPr="004B1924" w:rsidRDefault="00A742BE" w:rsidP="00A742BE">
      <w:pPr>
        <w:numPr>
          <w:ilvl w:val="0"/>
          <w:numId w:val="4"/>
        </w:numPr>
        <w:spacing w:line="264" w:lineRule="auto"/>
        <w:ind w:left="780" w:right="210" w:hanging="222"/>
      </w:pPr>
      <w:r w:rsidRPr="004B1924">
        <w:rPr>
          <w:sz w:val="20"/>
        </w:rPr>
        <w:t>The projected growth rate used is 4% above inflation.</w:t>
      </w:r>
    </w:p>
    <w:p w14:paraId="0558487C" w14:textId="77777777" w:rsidR="004C236D" w:rsidRPr="00CA1255" w:rsidRDefault="004C236D" w:rsidP="004C236D">
      <w:pPr>
        <w:autoSpaceDE w:val="0"/>
        <w:autoSpaceDN w:val="0"/>
        <w:adjustRightInd w:val="0"/>
        <w:jc w:val="both"/>
        <w:rPr>
          <w:rFonts w:eastAsia="Calibri" w:cs="Arial"/>
          <w:sz w:val="20"/>
          <w:lang w:eastAsia="en-GB"/>
        </w:rPr>
      </w:pPr>
    </w:p>
    <w:p w14:paraId="26E1643C" w14:textId="77777777" w:rsidR="00D252CA" w:rsidRPr="00CA1255" w:rsidRDefault="00D252CA" w:rsidP="00D252CA">
      <w:pPr>
        <w:autoSpaceDE w:val="0"/>
        <w:autoSpaceDN w:val="0"/>
        <w:adjustRightInd w:val="0"/>
        <w:jc w:val="both"/>
        <w:rPr>
          <w:rFonts w:eastAsia="Calibri" w:cs="Arial"/>
          <w:sz w:val="20"/>
          <w:lang w:eastAsia="en-GB"/>
        </w:rPr>
      </w:pPr>
      <w:r w:rsidRPr="00CA1255">
        <w:rPr>
          <w:rFonts w:eastAsia="Calibri" w:cs="Arial"/>
          <w:sz w:val="20"/>
          <w:lang w:eastAsia="en-GB"/>
        </w:rPr>
        <w:t>All other administration costs</w:t>
      </w:r>
      <w:r w:rsidR="004C236D" w:rsidRPr="00CA1255">
        <w:rPr>
          <w:rFonts w:eastAsia="Calibri" w:cs="Arial"/>
          <w:sz w:val="20"/>
          <w:lang w:eastAsia="en-GB"/>
        </w:rPr>
        <w:t>, with the exception of bank charges,</w:t>
      </w:r>
      <w:r w:rsidRPr="00CA1255">
        <w:rPr>
          <w:rFonts w:eastAsia="Calibri" w:cs="Arial"/>
          <w:sz w:val="20"/>
          <w:lang w:eastAsia="en-GB"/>
        </w:rPr>
        <w:t xml:space="preserve"> are met by the employer directly.</w:t>
      </w:r>
    </w:p>
    <w:p w14:paraId="2FCF2B90" w14:textId="77777777" w:rsidR="00E064D9" w:rsidRPr="00CA1255" w:rsidRDefault="00E064D9" w:rsidP="00771558">
      <w:pPr>
        <w:pStyle w:val="Heading1"/>
        <w:spacing w:before="0"/>
        <w:jc w:val="both"/>
        <w:rPr>
          <w:color w:val="auto"/>
          <w:lang w:eastAsia="en-GB"/>
        </w:rPr>
      </w:pPr>
    </w:p>
    <w:p w14:paraId="39C6FE04" w14:textId="77777777" w:rsidR="00E064D9" w:rsidRPr="00CA1255" w:rsidRDefault="00E064D9" w:rsidP="00771558">
      <w:pPr>
        <w:autoSpaceDE w:val="0"/>
        <w:autoSpaceDN w:val="0"/>
        <w:adjustRightInd w:val="0"/>
        <w:jc w:val="both"/>
        <w:rPr>
          <w:rFonts w:eastAsia="Calibri" w:cs="Arial"/>
          <w:b/>
          <w:bCs/>
          <w:sz w:val="22"/>
          <w:szCs w:val="22"/>
          <w:lang w:eastAsia="en-GB"/>
        </w:rPr>
      </w:pPr>
      <w:r w:rsidRPr="00CA1255">
        <w:rPr>
          <w:rFonts w:eastAsia="Calibri" w:cs="Arial"/>
          <w:b/>
          <w:bCs/>
          <w:sz w:val="22"/>
          <w:szCs w:val="22"/>
          <w:lang w:eastAsia="en-GB"/>
        </w:rPr>
        <w:t>Trustees’ knowledge and understanding</w:t>
      </w:r>
    </w:p>
    <w:p w14:paraId="220BBCF7" w14:textId="77777777" w:rsidR="00771558" w:rsidRPr="00CA1255" w:rsidRDefault="00771558" w:rsidP="00771558">
      <w:pPr>
        <w:autoSpaceDE w:val="0"/>
        <w:autoSpaceDN w:val="0"/>
        <w:adjustRightInd w:val="0"/>
        <w:jc w:val="both"/>
        <w:rPr>
          <w:rFonts w:eastAsia="Calibri" w:cs="Arial"/>
          <w:sz w:val="20"/>
          <w:lang w:eastAsia="en-GB"/>
        </w:rPr>
      </w:pPr>
    </w:p>
    <w:p w14:paraId="375D1D95" w14:textId="77777777" w:rsidR="00E064D9" w:rsidRPr="00CA1255" w:rsidRDefault="00E064D9" w:rsidP="00771558">
      <w:pPr>
        <w:autoSpaceDE w:val="0"/>
        <w:autoSpaceDN w:val="0"/>
        <w:adjustRightInd w:val="0"/>
        <w:jc w:val="both"/>
        <w:rPr>
          <w:rFonts w:eastAsia="Calibri" w:cs="Arial"/>
          <w:sz w:val="20"/>
          <w:lang w:eastAsia="en-GB"/>
        </w:rPr>
      </w:pPr>
      <w:r w:rsidRPr="00CA1255">
        <w:rPr>
          <w:rFonts w:eastAsia="Calibri" w:cs="Arial"/>
          <w:sz w:val="20"/>
          <w:lang w:eastAsia="en-GB"/>
        </w:rPr>
        <w:t>Sections 247 and 248 of the Pensions Act 2004 set out the requirement for Trustees to</w:t>
      </w:r>
      <w:r w:rsidR="00771558" w:rsidRPr="00CA1255">
        <w:rPr>
          <w:rFonts w:eastAsia="Calibri" w:cs="Arial"/>
          <w:sz w:val="20"/>
          <w:lang w:eastAsia="en-GB"/>
        </w:rPr>
        <w:t xml:space="preserve"> </w:t>
      </w:r>
      <w:r w:rsidRPr="00CA1255">
        <w:rPr>
          <w:rFonts w:eastAsia="Calibri" w:cs="Arial"/>
          <w:sz w:val="20"/>
          <w:lang w:eastAsia="en-GB"/>
        </w:rPr>
        <w:t>have appropriate knowledge and understanding of the law relating to pensions and</w:t>
      </w:r>
      <w:r w:rsidR="00771558" w:rsidRPr="00CA1255">
        <w:rPr>
          <w:rFonts w:eastAsia="Calibri" w:cs="Arial"/>
          <w:sz w:val="20"/>
          <w:lang w:eastAsia="en-GB"/>
        </w:rPr>
        <w:t xml:space="preserve"> </w:t>
      </w:r>
      <w:r w:rsidRPr="00CA1255">
        <w:rPr>
          <w:rFonts w:eastAsia="Calibri" w:cs="Arial"/>
          <w:sz w:val="20"/>
          <w:lang w:eastAsia="en-GB"/>
        </w:rPr>
        <w:t>trusts, the funding of occupational pension schemes, investment of Scheme assets and</w:t>
      </w:r>
      <w:r w:rsidR="00771558" w:rsidRPr="00CA1255">
        <w:rPr>
          <w:rFonts w:eastAsia="Calibri" w:cs="Arial"/>
          <w:sz w:val="20"/>
          <w:lang w:eastAsia="en-GB"/>
        </w:rPr>
        <w:t xml:space="preserve"> </w:t>
      </w:r>
      <w:r w:rsidRPr="00CA1255">
        <w:rPr>
          <w:rFonts w:eastAsia="Calibri" w:cs="Arial"/>
          <w:sz w:val="20"/>
          <w:lang w:eastAsia="en-GB"/>
        </w:rPr>
        <w:t>other matters to enable them to exercise their functions as trustees properly. This</w:t>
      </w:r>
      <w:r w:rsidR="00771558" w:rsidRPr="00CA1255">
        <w:rPr>
          <w:rFonts w:eastAsia="Calibri" w:cs="Arial"/>
          <w:sz w:val="20"/>
          <w:lang w:eastAsia="en-GB"/>
        </w:rPr>
        <w:t xml:space="preserve"> </w:t>
      </w:r>
      <w:r w:rsidRPr="00CA1255">
        <w:rPr>
          <w:rFonts w:eastAsia="Calibri" w:cs="Arial"/>
          <w:sz w:val="20"/>
          <w:lang w:eastAsia="en-GB"/>
        </w:rPr>
        <w:t>requirement is underpinned by guidance in the Pension Regulator’s Code of Practice</w:t>
      </w:r>
      <w:r w:rsidR="00771558" w:rsidRPr="00CA1255">
        <w:rPr>
          <w:rFonts w:eastAsia="Calibri" w:cs="Arial"/>
          <w:sz w:val="20"/>
          <w:lang w:eastAsia="en-GB"/>
        </w:rPr>
        <w:t xml:space="preserve"> </w:t>
      </w:r>
      <w:r w:rsidRPr="00CA1255">
        <w:rPr>
          <w:rFonts w:eastAsia="Calibri" w:cs="Arial"/>
          <w:sz w:val="20"/>
          <w:lang w:eastAsia="en-GB"/>
        </w:rPr>
        <w:t>07. The comments in this section relate to the Trustees as a body in dealing with the</w:t>
      </w:r>
      <w:r w:rsidR="00771558" w:rsidRPr="00CA1255">
        <w:rPr>
          <w:rFonts w:eastAsia="Calibri" w:cs="Arial"/>
          <w:sz w:val="20"/>
          <w:lang w:eastAsia="en-GB"/>
        </w:rPr>
        <w:t xml:space="preserve"> </w:t>
      </w:r>
      <w:r w:rsidRPr="00CA1255">
        <w:rPr>
          <w:rFonts w:eastAsia="Calibri" w:cs="Arial"/>
          <w:sz w:val="20"/>
          <w:lang w:eastAsia="en-GB"/>
        </w:rPr>
        <w:t>whole scheme and are not restricted to the DC section.</w:t>
      </w:r>
    </w:p>
    <w:p w14:paraId="0A44AC68" w14:textId="77777777" w:rsidR="00771558" w:rsidRPr="00CA1255" w:rsidRDefault="00771558" w:rsidP="00771558">
      <w:pPr>
        <w:autoSpaceDE w:val="0"/>
        <w:autoSpaceDN w:val="0"/>
        <w:adjustRightInd w:val="0"/>
        <w:jc w:val="both"/>
        <w:rPr>
          <w:rFonts w:eastAsia="Calibri" w:cs="Arial"/>
          <w:sz w:val="20"/>
          <w:lang w:eastAsia="en-GB"/>
        </w:rPr>
      </w:pPr>
    </w:p>
    <w:p w14:paraId="78A2F9EE" w14:textId="50ABA0C4" w:rsidR="00ED5975" w:rsidRDefault="00E064D9" w:rsidP="00771558">
      <w:pPr>
        <w:autoSpaceDE w:val="0"/>
        <w:autoSpaceDN w:val="0"/>
        <w:adjustRightInd w:val="0"/>
        <w:jc w:val="both"/>
        <w:rPr>
          <w:rFonts w:eastAsia="Calibri" w:cs="Arial"/>
          <w:sz w:val="20"/>
          <w:lang w:eastAsia="en-GB"/>
        </w:rPr>
      </w:pPr>
      <w:r w:rsidRPr="00CA1255">
        <w:rPr>
          <w:rFonts w:eastAsia="Calibri" w:cs="Arial"/>
          <w:sz w:val="20"/>
          <w:lang w:eastAsia="en-GB"/>
        </w:rPr>
        <w:t>The Trustees have put in place arrangements for ensuring that they take personal</w:t>
      </w:r>
      <w:r w:rsidR="00771558" w:rsidRPr="00CA1255">
        <w:rPr>
          <w:rFonts w:eastAsia="Calibri" w:cs="Arial"/>
          <w:sz w:val="20"/>
          <w:lang w:eastAsia="en-GB"/>
        </w:rPr>
        <w:t xml:space="preserve"> </w:t>
      </w:r>
      <w:r w:rsidRPr="00CA1255">
        <w:rPr>
          <w:rFonts w:eastAsia="Calibri" w:cs="Arial"/>
          <w:sz w:val="20"/>
          <w:lang w:eastAsia="en-GB"/>
        </w:rPr>
        <w:t>responsibility for keeping themselves up-to-date with relevant developments and carry</w:t>
      </w:r>
      <w:r w:rsidR="00771558" w:rsidRPr="00CA1255">
        <w:rPr>
          <w:rFonts w:eastAsia="Calibri" w:cs="Arial"/>
          <w:sz w:val="20"/>
          <w:lang w:eastAsia="en-GB"/>
        </w:rPr>
        <w:t xml:space="preserve"> </w:t>
      </w:r>
      <w:r w:rsidRPr="00CA1255">
        <w:rPr>
          <w:rFonts w:eastAsia="Calibri" w:cs="Arial"/>
          <w:sz w:val="20"/>
          <w:lang w:eastAsia="en-GB"/>
        </w:rPr>
        <w:t xml:space="preserve">out a self-assessment of training needs. </w:t>
      </w:r>
      <w:r w:rsidR="00ED5975">
        <w:rPr>
          <w:rFonts w:eastAsia="Calibri" w:cs="Arial"/>
          <w:sz w:val="20"/>
          <w:lang w:eastAsia="en-GB"/>
        </w:rPr>
        <w:t xml:space="preserve">This is reviewed </w:t>
      </w:r>
      <w:r w:rsidR="00A54DCA">
        <w:rPr>
          <w:rFonts w:eastAsia="Calibri" w:cs="Arial"/>
          <w:sz w:val="20"/>
          <w:lang w:eastAsia="en-GB"/>
        </w:rPr>
        <w:t>no less frequently than annually at a</w:t>
      </w:r>
      <w:r w:rsidR="00ED5975">
        <w:rPr>
          <w:rFonts w:eastAsia="Calibri" w:cs="Arial"/>
          <w:sz w:val="20"/>
          <w:lang w:eastAsia="en-GB"/>
        </w:rPr>
        <w:t xml:space="preserve"> Trustee meeting. </w:t>
      </w:r>
    </w:p>
    <w:p w14:paraId="0619CBAA" w14:textId="77777777" w:rsidR="00ED5975" w:rsidRDefault="00ED5975" w:rsidP="00771558">
      <w:pPr>
        <w:autoSpaceDE w:val="0"/>
        <w:autoSpaceDN w:val="0"/>
        <w:adjustRightInd w:val="0"/>
        <w:jc w:val="both"/>
        <w:rPr>
          <w:rFonts w:eastAsia="Calibri" w:cs="Arial"/>
          <w:sz w:val="20"/>
          <w:lang w:eastAsia="en-GB"/>
        </w:rPr>
      </w:pPr>
    </w:p>
    <w:p w14:paraId="0796CC01" w14:textId="69F010B3" w:rsidR="00E064D9" w:rsidRDefault="00F42ACC" w:rsidP="00771558">
      <w:pPr>
        <w:autoSpaceDE w:val="0"/>
        <w:autoSpaceDN w:val="0"/>
        <w:adjustRightInd w:val="0"/>
        <w:jc w:val="both"/>
        <w:rPr>
          <w:rFonts w:eastAsia="Calibri" w:cs="Arial"/>
          <w:sz w:val="20"/>
          <w:lang w:eastAsia="en-GB"/>
        </w:rPr>
      </w:pPr>
      <w:r>
        <w:rPr>
          <w:rFonts w:eastAsia="Calibri" w:cs="Arial"/>
          <w:sz w:val="20"/>
          <w:lang w:eastAsia="en-GB"/>
        </w:rPr>
        <w:t xml:space="preserve">The Chairman </w:t>
      </w:r>
      <w:r w:rsidR="00CE33F8">
        <w:rPr>
          <w:rFonts w:eastAsia="Calibri" w:cs="Arial"/>
          <w:sz w:val="20"/>
          <w:lang w:eastAsia="en-GB"/>
        </w:rPr>
        <w:t xml:space="preserve">is a professional trustee who </w:t>
      </w:r>
      <w:r>
        <w:rPr>
          <w:rFonts w:eastAsia="Calibri" w:cs="Arial"/>
          <w:sz w:val="20"/>
          <w:lang w:eastAsia="en-GB"/>
        </w:rPr>
        <w:t>chairs another board of pension trustees</w:t>
      </w:r>
      <w:r w:rsidR="00147B99">
        <w:rPr>
          <w:rFonts w:eastAsia="Calibri" w:cs="Arial"/>
          <w:sz w:val="20"/>
          <w:lang w:eastAsia="en-GB"/>
        </w:rPr>
        <w:t xml:space="preserve"> and is a trustee of a third Scheme. He</w:t>
      </w:r>
      <w:r>
        <w:rPr>
          <w:rFonts w:eastAsia="Calibri" w:cs="Arial"/>
          <w:sz w:val="20"/>
          <w:lang w:eastAsia="en-GB"/>
        </w:rPr>
        <w:t xml:space="preserve"> attends industry seminars and conferences as well as reading professional journals. He is also a member of a </w:t>
      </w:r>
      <w:r w:rsidR="00CA6814">
        <w:rPr>
          <w:rFonts w:eastAsia="Calibri" w:cs="Arial"/>
          <w:sz w:val="20"/>
          <w:lang w:eastAsia="en-GB"/>
        </w:rPr>
        <w:t>p</w:t>
      </w:r>
      <w:r>
        <w:rPr>
          <w:rFonts w:eastAsia="Calibri" w:cs="Arial"/>
          <w:sz w:val="20"/>
          <w:lang w:eastAsia="en-GB"/>
        </w:rPr>
        <w:t xml:space="preserve">ension </w:t>
      </w:r>
      <w:r w:rsidR="00CA6814">
        <w:rPr>
          <w:rFonts w:eastAsia="Calibri" w:cs="Arial"/>
          <w:sz w:val="20"/>
          <w:lang w:eastAsia="en-GB"/>
        </w:rPr>
        <w:t>c</w:t>
      </w:r>
      <w:r>
        <w:rPr>
          <w:rFonts w:eastAsia="Calibri" w:cs="Arial"/>
          <w:sz w:val="20"/>
          <w:lang w:eastAsia="en-GB"/>
        </w:rPr>
        <w:t xml:space="preserve">hair network group through which he receives regular updates on </w:t>
      </w:r>
      <w:r w:rsidR="00AB3DEC">
        <w:rPr>
          <w:rFonts w:eastAsia="Calibri" w:cs="Arial"/>
          <w:sz w:val="20"/>
          <w:lang w:eastAsia="en-GB"/>
        </w:rPr>
        <w:t>current</w:t>
      </w:r>
      <w:r>
        <w:rPr>
          <w:rFonts w:eastAsia="Calibri" w:cs="Arial"/>
          <w:sz w:val="20"/>
          <w:lang w:eastAsia="en-GB"/>
        </w:rPr>
        <w:t xml:space="preserve"> topics</w:t>
      </w:r>
      <w:r w:rsidR="00CE33F8">
        <w:rPr>
          <w:rFonts w:eastAsia="Calibri" w:cs="Arial"/>
          <w:sz w:val="20"/>
          <w:lang w:eastAsia="en-GB"/>
        </w:rPr>
        <w:t xml:space="preserve"> and</w:t>
      </w:r>
      <w:r>
        <w:rPr>
          <w:rFonts w:eastAsia="Calibri" w:cs="Arial"/>
          <w:sz w:val="20"/>
          <w:lang w:eastAsia="en-GB"/>
        </w:rPr>
        <w:t xml:space="preserve"> shares this knowledge with his fellow trustees</w:t>
      </w:r>
      <w:r w:rsidR="00CA6814">
        <w:rPr>
          <w:rFonts w:eastAsia="Calibri" w:cs="Arial"/>
          <w:sz w:val="20"/>
          <w:lang w:eastAsia="en-GB"/>
        </w:rPr>
        <w:t>, as appropriate</w:t>
      </w:r>
      <w:r w:rsidR="00CE33F8">
        <w:rPr>
          <w:rFonts w:eastAsia="Calibri" w:cs="Arial"/>
          <w:sz w:val="20"/>
          <w:lang w:eastAsia="en-GB"/>
        </w:rPr>
        <w:t>. A</w:t>
      </w:r>
      <w:r w:rsidR="00CA6814">
        <w:rPr>
          <w:rFonts w:eastAsia="Calibri" w:cs="Arial"/>
          <w:sz w:val="20"/>
          <w:lang w:eastAsia="en-GB"/>
        </w:rPr>
        <w:t>ll Trustees are kept informed of current pensions issues via a monthly newsletter from the actuarial advisers</w:t>
      </w:r>
      <w:r w:rsidR="00ED5975">
        <w:rPr>
          <w:rFonts w:eastAsia="Calibri" w:cs="Arial"/>
          <w:sz w:val="20"/>
          <w:lang w:eastAsia="en-GB"/>
        </w:rPr>
        <w:t xml:space="preserve"> which includes discussion of how these impact on the Scheme</w:t>
      </w:r>
      <w:r w:rsidR="00CA6814">
        <w:rPr>
          <w:rFonts w:eastAsia="Calibri" w:cs="Arial"/>
          <w:sz w:val="20"/>
          <w:lang w:eastAsia="en-GB"/>
        </w:rPr>
        <w:t>.</w:t>
      </w:r>
      <w:r>
        <w:rPr>
          <w:rFonts w:eastAsia="Calibri" w:cs="Arial"/>
          <w:sz w:val="20"/>
          <w:lang w:eastAsia="en-GB"/>
        </w:rPr>
        <w:t xml:space="preserve"> </w:t>
      </w:r>
    </w:p>
    <w:p w14:paraId="3F1CFB02" w14:textId="77777777" w:rsidR="00144591" w:rsidRPr="00144591" w:rsidRDefault="00144591" w:rsidP="00144591">
      <w:pPr>
        <w:autoSpaceDE w:val="0"/>
        <w:autoSpaceDN w:val="0"/>
        <w:adjustRightInd w:val="0"/>
        <w:jc w:val="both"/>
        <w:rPr>
          <w:rFonts w:eastAsia="Calibri" w:cs="Arial"/>
          <w:sz w:val="20"/>
          <w:lang w:eastAsia="en-GB"/>
        </w:rPr>
      </w:pPr>
    </w:p>
    <w:p w14:paraId="55D661DA" w14:textId="697A48C5" w:rsidR="00144591" w:rsidRPr="00144591" w:rsidRDefault="00144591" w:rsidP="00144591">
      <w:pPr>
        <w:autoSpaceDE w:val="0"/>
        <w:autoSpaceDN w:val="0"/>
        <w:adjustRightInd w:val="0"/>
        <w:jc w:val="both"/>
        <w:rPr>
          <w:rFonts w:eastAsia="Calibri" w:cs="Arial"/>
          <w:sz w:val="20"/>
          <w:lang w:eastAsia="en-GB"/>
        </w:rPr>
      </w:pPr>
      <w:r w:rsidRPr="00144591">
        <w:rPr>
          <w:rFonts w:eastAsia="Calibri" w:cs="Arial"/>
          <w:sz w:val="20"/>
          <w:lang w:eastAsia="en-GB"/>
        </w:rPr>
        <w:t xml:space="preserve">All the Trustees are aware of the need to </w:t>
      </w:r>
      <w:r w:rsidR="002F7CED">
        <w:rPr>
          <w:rFonts w:eastAsia="Calibri" w:cs="Arial"/>
          <w:sz w:val="20"/>
          <w:lang w:eastAsia="en-GB"/>
        </w:rPr>
        <w:t>complete</w:t>
      </w:r>
      <w:r w:rsidRPr="00144591">
        <w:rPr>
          <w:rFonts w:eastAsia="Calibri" w:cs="Arial"/>
          <w:sz w:val="20"/>
          <w:lang w:eastAsia="en-GB"/>
        </w:rPr>
        <w:t xml:space="preserve"> the Pension Regulator’s Trustee Toolkit</w:t>
      </w:r>
      <w:r w:rsidR="002B3513">
        <w:rPr>
          <w:rFonts w:eastAsia="Calibri" w:cs="Arial"/>
          <w:sz w:val="20"/>
          <w:lang w:eastAsia="en-GB"/>
        </w:rPr>
        <w:t xml:space="preserve"> and did so </w:t>
      </w:r>
      <w:r w:rsidRPr="00144591">
        <w:rPr>
          <w:rFonts w:eastAsia="Calibri" w:cs="Arial"/>
          <w:sz w:val="20"/>
          <w:lang w:eastAsia="en-GB"/>
        </w:rPr>
        <w:t>within six months of taking up office.</w:t>
      </w:r>
    </w:p>
    <w:p w14:paraId="1C74D824" w14:textId="77777777" w:rsidR="00771558" w:rsidRPr="00CA1255" w:rsidRDefault="00771558" w:rsidP="00771558">
      <w:pPr>
        <w:autoSpaceDE w:val="0"/>
        <w:autoSpaceDN w:val="0"/>
        <w:adjustRightInd w:val="0"/>
        <w:jc w:val="both"/>
        <w:rPr>
          <w:rFonts w:eastAsia="Calibri" w:cs="Arial"/>
          <w:sz w:val="20"/>
          <w:lang w:eastAsia="en-GB"/>
        </w:rPr>
      </w:pPr>
    </w:p>
    <w:p w14:paraId="49949ECA" w14:textId="77777777" w:rsidR="00E064D9" w:rsidRPr="00CA1255" w:rsidRDefault="00E064D9" w:rsidP="00771558">
      <w:pPr>
        <w:autoSpaceDE w:val="0"/>
        <w:autoSpaceDN w:val="0"/>
        <w:adjustRightInd w:val="0"/>
        <w:jc w:val="both"/>
        <w:rPr>
          <w:rFonts w:eastAsia="Calibri" w:cs="Arial"/>
          <w:sz w:val="20"/>
          <w:lang w:eastAsia="en-GB"/>
        </w:rPr>
      </w:pPr>
      <w:r w:rsidRPr="00CA1255">
        <w:rPr>
          <w:rFonts w:eastAsia="Calibri" w:cs="Arial"/>
          <w:sz w:val="20"/>
          <w:lang w:eastAsia="en-GB"/>
        </w:rPr>
        <w:t>Taking account of actions taken individually and as a trustee body, and the professional</w:t>
      </w:r>
      <w:r w:rsidR="00771558" w:rsidRPr="00CA1255">
        <w:rPr>
          <w:rFonts w:eastAsia="Calibri" w:cs="Arial"/>
          <w:sz w:val="20"/>
          <w:lang w:eastAsia="en-GB"/>
        </w:rPr>
        <w:t xml:space="preserve"> </w:t>
      </w:r>
      <w:r w:rsidRPr="00CA1255">
        <w:rPr>
          <w:rFonts w:eastAsia="Calibri" w:cs="Arial"/>
          <w:sz w:val="20"/>
          <w:lang w:eastAsia="en-GB"/>
        </w:rPr>
        <w:t>advice available to them, the Trustees consider that they are enabled properly to</w:t>
      </w:r>
      <w:r w:rsidR="00771558" w:rsidRPr="00CA1255">
        <w:rPr>
          <w:rFonts w:eastAsia="Calibri" w:cs="Arial"/>
          <w:sz w:val="20"/>
          <w:lang w:eastAsia="en-GB"/>
        </w:rPr>
        <w:t xml:space="preserve"> </w:t>
      </w:r>
      <w:r w:rsidRPr="00CA1255">
        <w:rPr>
          <w:rFonts w:eastAsia="Calibri" w:cs="Arial"/>
          <w:sz w:val="20"/>
          <w:lang w:eastAsia="en-GB"/>
        </w:rPr>
        <w:t>exercise their functions as Trustees.</w:t>
      </w:r>
    </w:p>
    <w:p w14:paraId="659C90AF" w14:textId="77777777" w:rsidR="00E064D9" w:rsidRPr="00CA1255" w:rsidRDefault="00E064D9" w:rsidP="00771558">
      <w:pPr>
        <w:pStyle w:val="Heading1"/>
        <w:spacing w:before="0"/>
        <w:jc w:val="both"/>
        <w:rPr>
          <w:color w:val="auto"/>
          <w:lang w:eastAsia="en-GB"/>
        </w:rPr>
      </w:pPr>
    </w:p>
    <w:p w14:paraId="765E3271" w14:textId="55D69B70" w:rsidR="00E064D9" w:rsidRPr="00714E61" w:rsidRDefault="00400A25" w:rsidP="00771558">
      <w:pPr>
        <w:autoSpaceDE w:val="0"/>
        <w:autoSpaceDN w:val="0"/>
        <w:adjustRightInd w:val="0"/>
        <w:jc w:val="both"/>
        <w:rPr>
          <w:rFonts w:cs="Arial"/>
          <w:sz w:val="20"/>
          <w:lang w:eastAsia="en-GB"/>
        </w:rPr>
      </w:pPr>
      <w:r>
        <w:rPr>
          <w:rFonts w:eastAsia="Calibri" w:cs="Arial"/>
          <w:sz w:val="20"/>
          <w:lang w:eastAsia="en-GB"/>
        </w:rPr>
        <w:t xml:space="preserve">The </w:t>
      </w:r>
      <w:r w:rsidR="00E064D9" w:rsidRPr="00CA1255">
        <w:rPr>
          <w:rFonts w:eastAsia="Calibri" w:cs="Arial"/>
          <w:sz w:val="20"/>
          <w:lang w:eastAsia="en-GB"/>
        </w:rPr>
        <w:t xml:space="preserve">Trustees of the </w:t>
      </w:r>
      <w:r w:rsidR="00771558" w:rsidRPr="00CA1255">
        <w:rPr>
          <w:rFonts w:eastAsia="Calibri" w:cs="Arial"/>
          <w:sz w:val="20"/>
          <w:lang w:eastAsia="en-GB"/>
        </w:rPr>
        <w:t xml:space="preserve">Pertwee </w:t>
      </w:r>
      <w:r w:rsidR="002D3884">
        <w:rPr>
          <w:rFonts w:eastAsia="Calibri" w:cs="Arial"/>
          <w:sz w:val="20"/>
          <w:lang w:eastAsia="en-GB"/>
        </w:rPr>
        <w:t>Estates</w:t>
      </w:r>
      <w:r w:rsidR="00771558" w:rsidRPr="00CA1255">
        <w:rPr>
          <w:rFonts w:eastAsia="Calibri" w:cs="Arial"/>
          <w:sz w:val="20"/>
          <w:lang w:eastAsia="en-GB"/>
        </w:rPr>
        <w:t xml:space="preserve"> Limited Retirement Benefits Scheme</w:t>
      </w:r>
      <w:r w:rsidR="00E064D9" w:rsidRPr="00CA1255">
        <w:rPr>
          <w:rFonts w:eastAsia="Calibri" w:cs="Arial"/>
          <w:sz w:val="20"/>
          <w:lang w:eastAsia="en-GB"/>
        </w:rPr>
        <w:t xml:space="preserve"> have reviewed and assessed that </w:t>
      </w:r>
      <w:r>
        <w:rPr>
          <w:rFonts w:eastAsia="Calibri" w:cs="Arial"/>
          <w:sz w:val="20"/>
          <w:lang w:eastAsia="en-GB"/>
        </w:rPr>
        <w:t>their</w:t>
      </w:r>
      <w:r w:rsidRPr="00CA1255">
        <w:rPr>
          <w:rFonts w:eastAsia="Calibri" w:cs="Arial"/>
          <w:sz w:val="20"/>
          <w:lang w:eastAsia="en-GB"/>
        </w:rPr>
        <w:t xml:space="preserve"> </w:t>
      </w:r>
      <w:r w:rsidR="00E064D9" w:rsidRPr="00CA1255">
        <w:rPr>
          <w:rFonts w:eastAsia="Calibri" w:cs="Arial"/>
          <w:sz w:val="20"/>
          <w:lang w:eastAsia="en-GB"/>
        </w:rPr>
        <w:t>systems, processes and controls across key governance functions are consistent with</w:t>
      </w:r>
      <w:r w:rsidR="00771558" w:rsidRPr="00CA1255">
        <w:rPr>
          <w:rFonts w:eastAsia="Calibri" w:cs="Arial"/>
          <w:sz w:val="20"/>
          <w:lang w:eastAsia="en-GB"/>
        </w:rPr>
        <w:t xml:space="preserve"> </w:t>
      </w:r>
      <w:r w:rsidR="00E064D9" w:rsidRPr="00CA1255">
        <w:rPr>
          <w:rFonts w:eastAsia="Calibri" w:cs="Arial"/>
          <w:sz w:val="20"/>
          <w:lang w:eastAsia="en-GB"/>
        </w:rPr>
        <w:t xml:space="preserve">those set out in </w:t>
      </w:r>
      <w:r w:rsidR="00714E61">
        <w:rPr>
          <w:rFonts w:eastAsia="Calibri" w:cs="Arial"/>
          <w:sz w:val="20"/>
          <w:lang w:eastAsia="en-GB"/>
        </w:rPr>
        <w:t xml:space="preserve">(1) </w:t>
      </w:r>
      <w:r w:rsidR="00E064D9" w:rsidRPr="00CA1255">
        <w:rPr>
          <w:rFonts w:eastAsia="Calibri" w:cs="Arial"/>
          <w:sz w:val="20"/>
          <w:lang w:eastAsia="en-GB"/>
        </w:rPr>
        <w:t>The Pensions Regulator’s</w:t>
      </w:r>
      <w:r w:rsidR="00714E61">
        <w:rPr>
          <w:rFonts w:eastAsia="Calibri" w:cs="Arial"/>
          <w:sz w:val="20"/>
          <w:lang w:eastAsia="en-GB"/>
        </w:rPr>
        <w:t xml:space="preserve"> </w:t>
      </w:r>
      <w:r w:rsidR="00E064D9" w:rsidRPr="00B33741">
        <w:rPr>
          <w:rFonts w:cs="Arial"/>
          <w:sz w:val="20"/>
          <w:lang w:eastAsia="en-GB"/>
        </w:rPr>
        <w:t>Code of Practice 13: Governance and administration of occupational defined</w:t>
      </w:r>
      <w:r w:rsidR="00771558" w:rsidRPr="00B33741">
        <w:rPr>
          <w:rFonts w:cs="Arial"/>
          <w:sz w:val="20"/>
          <w:lang w:eastAsia="en-GB"/>
        </w:rPr>
        <w:t xml:space="preserve"> </w:t>
      </w:r>
      <w:r w:rsidR="00E064D9" w:rsidRPr="00B33741">
        <w:rPr>
          <w:rFonts w:cs="Arial"/>
          <w:sz w:val="20"/>
          <w:lang w:eastAsia="en-GB"/>
        </w:rPr>
        <w:t>contribution trust-based schemes</w:t>
      </w:r>
      <w:r w:rsidR="00714E61">
        <w:rPr>
          <w:rFonts w:cs="Arial"/>
          <w:sz w:val="20"/>
          <w:lang w:eastAsia="en-GB"/>
        </w:rPr>
        <w:t xml:space="preserve">, and (2) </w:t>
      </w:r>
      <w:r w:rsidR="00E064D9" w:rsidRPr="00B33741">
        <w:rPr>
          <w:rFonts w:cs="Arial"/>
          <w:sz w:val="20"/>
          <w:lang w:eastAsia="en-GB"/>
        </w:rPr>
        <w:t>Regulatory guidance for defined contribution schemes.</w:t>
      </w:r>
      <w:r w:rsidR="00714E61">
        <w:rPr>
          <w:rFonts w:cs="Arial"/>
          <w:sz w:val="20"/>
          <w:lang w:eastAsia="en-GB"/>
        </w:rPr>
        <w:t xml:space="preserve"> </w:t>
      </w:r>
      <w:r w:rsidR="00E064D9">
        <w:rPr>
          <w:rFonts w:eastAsia="Calibri" w:cs="Arial"/>
          <w:sz w:val="20"/>
          <w:lang w:eastAsia="en-GB"/>
        </w:rPr>
        <w:t>These are underpinned by the DC quality features.</w:t>
      </w:r>
    </w:p>
    <w:p w14:paraId="16C20B52" w14:textId="77777777" w:rsidR="00771558" w:rsidRDefault="00771558" w:rsidP="00771558">
      <w:pPr>
        <w:autoSpaceDE w:val="0"/>
        <w:autoSpaceDN w:val="0"/>
        <w:adjustRightInd w:val="0"/>
        <w:jc w:val="both"/>
        <w:rPr>
          <w:rFonts w:eastAsia="Calibri" w:cs="Arial"/>
          <w:sz w:val="20"/>
          <w:lang w:eastAsia="en-GB"/>
        </w:rPr>
      </w:pPr>
    </w:p>
    <w:p w14:paraId="7E384E1D" w14:textId="640905DD" w:rsidR="00E064D9" w:rsidRDefault="00E064D9" w:rsidP="00771558">
      <w:pPr>
        <w:autoSpaceDE w:val="0"/>
        <w:autoSpaceDN w:val="0"/>
        <w:adjustRightInd w:val="0"/>
        <w:jc w:val="both"/>
        <w:rPr>
          <w:rFonts w:eastAsia="Calibri" w:cs="Arial"/>
          <w:sz w:val="20"/>
          <w:lang w:eastAsia="en-GB"/>
        </w:rPr>
      </w:pPr>
      <w:r>
        <w:rPr>
          <w:rFonts w:eastAsia="Calibri" w:cs="Arial"/>
          <w:sz w:val="20"/>
          <w:lang w:eastAsia="en-GB"/>
        </w:rPr>
        <w:t>Based on</w:t>
      </w:r>
      <w:r w:rsidR="00B33741">
        <w:rPr>
          <w:rFonts w:eastAsia="Calibri" w:cs="Arial"/>
          <w:sz w:val="20"/>
          <w:lang w:eastAsia="en-GB"/>
        </w:rPr>
        <w:t xml:space="preserve"> this</w:t>
      </w:r>
      <w:r>
        <w:rPr>
          <w:rFonts w:eastAsia="Calibri" w:cs="Arial"/>
          <w:sz w:val="20"/>
          <w:lang w:eastAsia="en-GB"/>
        </w:rPr>
        <w:t xml:space="preserve"> assessment </w:t>
      </w:r>
      <w:r w:rsidR="00B33741">
        <w:rPr>
          <w:rFonts w:eastAsia="Calibri" w:cs="Arial"/>
          <w:sz w:val="20"/>
          <w:lang w:eastAsia="en-GB"/>
        </w:rPr>
        <w:t>the Trustees</w:t>
      </w:r>
      <w:r>
        <w:rPr>
          <w:rFonts w:eastAsia="Calibri" w:cs="Arial"/>
          <w:sz w:val="20"/>
          <w:lang w:eastAsia="en-GB"/>
        </w:rPr>
        <w:t xml:space="preserve"> believe</w:t>
      </w:r>
      <w:r w:rsidR="00771558">
        <w:rPr>
          <w:rFonts w:eastAsia="Calibri" w:cs="Arial"/>
          <w:sz w:val="20"/>
          <w:lang w:eastAsia="en-GB"/>
        </w:rPr>
        <w:t xml:space="preserve"> </w:t>
      </w:r>
      <w:r>
        <w:rPr>
          <w:rFonts w:eastAsia="Calibri" w:cs="Arial"/>
          <w:sz w:val="20"/>
          <w:lang w:eastAsia="en-GB"/>
        </w:rPr>
        <w:t xml:space="preserve">that </w:t>
      </w:r>
      <w:r w:rsidR="00B33741">
        <w:rPr>
          <w:rFonts w:eastAsia="Calibri" w:cs="Arial"/>
          <w:sz w:val="20"/>
          <w:lang w:eastAsia="en-GB"/>
        </w:rPr>
        <w:t>they</w:t>
      </w:r>
      <w:r>
        <w:rPr>
          <w:rFonts w:eastAsia="Calibri" w:cs="Arial"/>
          <w:sz w:val="20"/>
          <w:lang w:eastAsia="en-GB"/>
        </w:rPr>
        <w:t xml:space="preserve"> have adopted the standards of practice set out in the DC code and DC</w:t>
      </w:r>
      <w:r w:rsidR="00771558">
        <w:rPr>
          <w:rFonts w:eastAsia="Calibri" w:cs="Arial"/>
          <w:sz w:val="20"/>
          <w:lang w:eastAsia="en-GB"/>
        </w:rPr>
        <w:t xml:space="preserve"> </w:t>
      </w:r>
      <w:r>
        <w:rPr>
          <w:rFonts w:eastAsia="Calibri" w:cs="Arial"/>
          <w:sz w:val="20"/>
          <w:lang w:eastAsia="en-GB"/>
        </w:rPr>
        <w:t xml:space="preserve">regulatory guidance. These help </w:t>
      </w:r>
      <w:r w:rsidR="00714E61">
        <w:rPr>
          <w:rFonts w:eastAsia="Calibri" w:cs="Arial"/>
          <w:sz w:val="20"/>
          <w:lang w:eastAsia="en-GB"/>
        </w:rPr>
        <w:t xml:space="preserve">to </w:t>
      </w:r>
      <w:r>
        <w:rPr>
          <w:rFonts w:eastAsia="Calibri" w:cs="Arial"/>
          <w:sz w:val="20"/>
          <w:lang w:eastAsia="en-GB"/>
        </w:rPr>
        <w:t>demonstrate the presence of DC quality features,</w:t>
      </w:r>
      <w:r w:rsidR="00B33741">
        <w:rPr>
          <w:rFonts w:eastAsia="Calibri" w:cs="Arial"/>
          <w:sz w:val="20"/>
          <w:lang w:eastAsia="en-GB"/>
        </w:rPr>
        <w:t xml:space="preserve"> </w:t>
      </w:r>
      <w:r>
        <w:rPr>
          <w:rFonts w:eastAsia="Calibri" w:cs="Arial"/>
          <w:sz w:val="20"/>
          <w:lang w:eastAsia="en-GB"/>
        </w:rPr>
        <w:t xml:space="preserve">which </w:t>
      </w:r>
      <w:r w:rsidR="00B33741">
        <w:rPr>
          <w:rFonts w:eastAsia="Calibri" w:cs="Arial"/>
          <w:sz w:val="20"/>
          <w:lang w:eastAsia="en-GB"/>
        </w:rPr>
        <w:t>the Trustees</w:t>
      </w:r>
      <w:r>
        <w:rPr>
          <w:rFonts w:eastAsia="Calibri" w:cs="Arial"/>
          <w:sz w:val="20"/>
          <w:lang w:eastAsia="en-GB"/>
        </w:rPr>
        <w:t xml:space="preserve"> believe will help deliver better outcomes for members at retirement.</w:t>
      </w:r>
    </w:p>
    <w:p w14:paraId="5119A60C" w14:textId="77777777" w:rsidR="00771558" w:rsidRDefault="00771558" w:rsidP="00771558">
      <w:pPr>
        <w:autoSpaceDE w:val="0"/>
        <w:autoSpaceDN w:val="0"/>
        <w:adjustRightInd w:val="0"/>
        <w:jc w:val="both"/>
        <w:rPr>
          <w:rFonts w:eastAsia="Calibri" w:cs="Arial"/>
          <w:sz w:val="20"/>
          <w:lang w:eastAsia="en-GB"/>
        </w:rPr>
      </w:pPr>
    </w:p>
    <w:p w14:paraId="4DAA5FA9" w14:textId="77777777" w:rsidR="00E064D9" w:rsidRPr="005A2A7A" w:rsidRDefault="00E064D9" w:rsidP="00771558">
      <w:pPr>
        <w:autoSpaceDE w:val="0"/>
        <w:autoSpaceDN w:val="0"/>
        <w:adjustRightInd w:val="0"/>
        <w:jc w:val="both"/>
        <w:rPr>
          <w:rFonts w:eastAsia="Calibri" w:cs="Arial"/>
          <w:b/>
          <w:color w:val="000000"/>
          <w:sz w:val="20"/>
          <w:lang w:eastAsia="en-GB"/>
        </w:rPr>
      </w:pPr>
      <w:r w:rsidRPr="005A2A7A">
        <w:rPr>
          <w:rFonts w:eastAsia="Calibri" w:cs="Arial"/>
          <w:b/>
          <w:color w:val="000000"/>
          <w:sz w:val="20"/>
          <w:lang w:eastAsia="en-GB"/>
        </w:rPr>
        <w:t>Where we adopt a different approach to that set out in the DC code and DC regulatory</w:t>
      </w:r>
      <w:r w:rsidR="00771558" w:rsidRPr="005A2A7A">
        <w:rPr>
          <w:rFonts w:eastAsia="Calibri" w:cs="Arial"/>
          <w:b/>
          <w:color w:val="000000"/>
          <w:sz w:val="20"/>
          <w:lang w:eastAsia="en-GB"/>
        </w:rPr>
        <w:t xml:space="preserve"> </w:t>
      </w:r>
      <w:r w:rsidRPr="005A2A7A">
        <w:rPr>
          <w:rFonts w:eastAsia="Calibri" w:cs="Arial"/>
          <w:b/>
          <w:color w:val="000000"/>
          <w:sz w:val="20"/>
          <w:lang w:eastAsia="en-GB"/>
        </w:rPr>
        <w:t>guidance we explain why below.</w:t>
      </w:r>
    </w:p>
    <w:p w14:paraId="1C24BB66" w14:textId="77777777" w:rsidR="00D252CA" w:rsidRPr="004C236D" w:rsidRDefault="00D252CA" w:rsidP="00771558">
      <w:pPr>
        <w:autoSpaceDE w:val="0"/>
        <w:autoSpaceDN w:val="0"/>
        <w:adjustRightInd w:val="0"/>
        <w:jc w:val="both"/>
        <w:rPr>
          <w:rFonts w:eastAsia="Calibri" w:cs="Arial"/>
          <w:color w:val="000000"/>
          <w:sz w:val="20"/>
          <w:lang w:eastAsia="en-GB"/>
        </w:rPr>
      </w:pPr>
    </w:p>
    <w:p w14:paraId="09723AFD" w14:textId="56CE3DFE" w:rsidR="00DE6623" w:rsidRDefault="008E0A48" w:rsidP="00DE6623">
      <w:pPr>
        <w:autoSpaceDE w:val="0"/>
        <w:autoSpaceDN w:val="0"/>
        <w:adjustRightInd w:val="0"/>
        <w:jc w:val="both"/>
        <w:rPr>
          <w:rFonts w:eastAsia="Calibri" w:cs="Arial"/>
          <w:color w:val="000000"/>
          <w:sz w:val="20"/>
          <w:lang w:eastAsia="en-GB"/>
        </w:rPr>
      </w:pPr>
      <w:r>
        <w:rPr>
          <w:rFonts w:eastAsia="Calibri" w:cs="Arial"/>
          <w:color w:val="000000"/>
          <w:sz w:val="20"/>
          <w:lang w:eastAsia="en-GB"/>
        </w:rPr>
        <w:t>Until the end of the financial year, t</w:t>
      </w:r>
      <w:r w:rsidR="004C236D" w:rsidRPr="004C236D">
        <w:rPr>
          <w:rFonts w:eastAsia="Calibri" w:cs="Arial"/>
          <w:color w:val="000000"/>
          <w:sz w:val="20"/>
          <w:lang w:eastAsia="en-GB"/>
        </w:rPr>
        <w:t>he</w:t>
      </w:r>
      <w:r w:rsidR="004C236D">
        <w:rPr>
          <w:rFonts w:eastAsia="Calibri" w:cs="Arial"/>
          <w:color w:val="000000"/>
          <w:sz w:val="20"/>
          <w:lang w:eastAsia="en-GB"/>
        </w:rPr>
        <w:t xml:space="preserve"> </w:t>
      </w:r>
      <w:r w:rsidR="00DE6623">
        <w:rPr>
          <w:rFonts w:eastAsia="Calibri" w:cs="Arial"/>
          <w:color w:val="000000"/>
          <w:sz w:val="20"/>
          <w:lang w:eastAsia="en-GB"/>
        </w:rPr>
        <w:t>Scheme offer</w:t>
      </w:r>
      <w:r>
        <w:rPr>
          <w:rFonts w:eastAsia="Calibri" w:cs="Arial"/>
          <w:color w:val="000000"/>
          <w:sz w:val="20"/>
          <w:lang w:eastAsia="en-GB"/>
        </w:rPr>
        <w:t>ed</w:t>
      </w:r>
      <w:r w:rsidR="00DE6623">
        <w:rPr>
          <w:rFonts w:eastAsia="Calibri" w:cs="Arial"/>
          <w:color w:val="000000"/>
          <w:sz w:val="20"/>
          <w:lang w:eastAsia="en-GB"/>
        </w:rPr>
        <w:t xml:space="preserve"> a single default arrangement which may not </w:t>
      </w:r>
      <w:r>
        <w:rPr>
          <w:rFonts w:eastAsia="Calibri" w:cs="Arial"/>
          <w:color w:val="000000"/>
          <w:sz w:val="20"/>
          <w:lang w:eastAsia="en-GB"/>
        </w:rPr>
        <w:t xml:space="preserve">have </w:t>
      </w:r>
      <w:r w:rsidR="00DE6623">
        <w:rPr>
          <w:rFonts w:eastAsia="Calibri" w:cs="Arial"/>
          <w:color w:val="000000"/>
          <w:sz w:val="20"/>
          <w:lang w:eastAsia="en-GB"/>
        </w:rPr>
        <w:t>necessarily reflect</w:t>
      </w:r>
      <w:r>
        <w:rPr>
          <w:rFonts w:eastAsia="Calibri" w:cs="Arial"/>
          <w:color w:val="000000"/>
          <w:sz w:val="20"/>
          <w:lang w:eastAsia="en-GB"/>
        </w:rPr>
        <w:t>ed</w:t>
      </w:r>
      <w:r w:rsidR="00DE6623">
        <w:rPr>
          <w:rFonts w:eastAsia="Calibri" w:cs="Arial"/>
          <w:color w:val="000000"/>
          <w:sz w:val="20"/>
          <w:lang w:eastAsia="en-GB"/>
        </w:rPr>
        <w:t xml:space="preserve"> the needs of the individual members.  The investment strategy </w:t>
      </w:r>
      <w:r>
        <w:rPr>
          <w:rFonts w:eastAsia="Calibri" w:cs="Arial"/>
          <w:color w:val="000000"/>
          <w:sz w:val="20"/>
          <w:lang w:eastAsia="en-GB"/>
        </w:rPr>
        <w:t>was</w:t>
      </w:r>
      <w:r w:rsidR="00DE6623">
        <w:rPr>
          <w:rFonts w:eastAsia="Calibri" w:cs="Arial"/>
          <w:color w:val="000000"/>
          <w:sz w:val="20"/>
          <w:lang w:eastAsia="en-GB"/>
        </w:rPr>
        <w:t xml:space="preserve"> set out in the SMPIs that are issued to members each year and they have the option to transfer elsewhere.</w:t>
      </w:r>
      <w:r w:rsidR="00714E61">
        <w:rPr>
          <w:rFonts w:eastAsia="Calibri" w:cs="Arial"/>
          <w:color w:val="000000"/>
          <w:sz w:val="20"/>
          <w:lang w:eastAsia="en-GB"/>
        </w:rPr>
        <w:t xml:space="preserve"> </w:t>
      </w:r>
      <w:r w:rsidR="00DE6623">
        <w:rPr>
          <w:rFonts w:eastAsia="Calibri" w:cs="Arial"/>
          <w:color w:val="000000"/>
          <w:sz w:val="20"/>
          <w:lang w:eastAsia="en-GB"/>
        </w:rPr>
        <w:t>The Trustees d</w:t>
      </w:r>
      <w:r>
        <w:rPr>
          <w:rFonts w:eastAsia="Calibri" w:cs="Arial"/>
          <w:color w:val="000000"/>
          <w:sz w:val="20"/>
          <w:lang w:eastAsia="en-GB"/>
        </w:rPr>
        <w:t>id</w:t>
      </w:r>
      <w:r w:rsidR="00DE6623">
        <w:rPr>
          <w:rFonts w:eastAsia="Calibri" w:cs="Arial"/>
          <w:color w:val="000000"/>
          <w:sz w:val="20"/>
          <w:lang w:eastAsia="en-GB"/>
        </w:rPr>
        <w:t xml:space="preserve"> not believe that the costs of providing members with additional flexibility would </w:t>
      </w:r>
      <w:r>
        <w:rPr>
          <w:rFonts w:eastAsia="Calibri" w:cs="Arial"/>
          <w:color w:val="000000"/>
          <w:sz w:val="20"/>
          <w:lang w:eastAsia="en-GB"/>
        </w:rPr>
        <w:t xml:space="preserve">have </w:t>
      </w:r>
      <w:r w:rsidR="00DE6623">
        <w:rPr>
          <w:rFonts w:eastAsia="Calibri" w:cs="Arial"/>
          <w:color w:val="000000"/>
          <w:sz w:val="20"/>
          <w:lang w:eastAsia="en-GB"/>
        </w:rPr>
        <w:lastRenderedPageBreak/>
        <w:t>represent</w:t>
      </w:r>
      <w:r>
        <w:rPr>
          <w:rFonts w:eastAsia="Calibri" w:cs="Arial"/>
          <w:color w:val="000000"/>
          <w:sz w:val="20"/>
          <w:lang w:eastAsia="en-GB"/>
        </w:rPr>
        <w:t>ed</w:t>
      </w:r>
      <w:r w:rsidR="00DE6623">
        <w:rPr>
          <w:rFonts w:eastAsia="Calibri" w:cs="Arial"/>
          <w:color w:val="000000"/>
          <w:sz w:val="20"/>
          <w:lang w:eastAsia="en-GB"/>
        </w:rPr>
        <w:t xml:space="preserve"> good value for money for a small scheme like this one.</w:t>
      </w:r>
      <w:r>
        <w:rPr>
          <w:rFonts w:eastAsia="Calibri" w:cs="Arial"/>
          <w:color w:val="000000"/>
          <w:sz w:val="20"/>
          <w:lang w:eastAsia="en-GB"/>
        </w:rPr>
        <w:t xml:space="preserve"> However, following the buy-in this approach has changed and a separate fund has been designated to meet the needs of the DC member, and a different investment strategy implemented following discussion with the member concerned.</w:t>
      </w:r>
    </w:p>
    <w:p w14:paraId="7E4DADA9" w14:textId="77777777" w:rsidR="00DE6623" w:rsidRDefault="00DE6623" w:rsidP="00DE6623">
      <w:pPr>
        <w:autoSpaceDE w:val="0"/>
        <w:autoSpaceDN w:val="0"/>
        <w:adjustRightInd w:val="0"/>
        <w:jc w:val="both"/>
        <w:rPr>
          <w:rFonts w:eastAsia="Calibri" w:cs="Arial"/>
          <w:color w:val="000000"/>
          <w:sz w:val="20"/>
          <w:lang w:eastAsia="en-GB"/>
        </w:rPr>
      </w:pPr>
    </w:p>
    <w:p w14:paraId="050C1D9D" w14:textId="77777777" w:rsidR="005A2A7A" w:rsidRPr="005A2A7A" w:rsidRDefault="00E064D9" w:rsidP="005A2A7A">
      <w:pPr>
        <w:autoSpaceDE w:val="0"/>
        <w:autoSpaceDN w:val="0"/>
        <w:adjustRightInd w:val="0"/>
        <w:jc w:val="both"/>
        <w:rPr>
          <w:rFonts w:eastAsia="Calibri" w:cs="Arial"/>
          <w:b/>
          <w:color w:val="000000"/>
          <w:sz w:val="20"/>
          <w:lang w:eastAsia="en-GB"/>
        </w:rPr>
      </w:pPr>
      <w:r w:rsidRPr="005A2A7A">
        <w:rPr>
          <w:rFonts w:eastAsia="Calibri" w:cs="Arial"/>
          <w:b/>
          <w:color w:val="000000"/>
          <w:sz w:val="20"/>
          <w:lang w:eastAsia="en-GB"/>
        </w:rPr>
        <w:t>Where we do not have systems and processes in place to demonstrate particular</w:t>
      </w:r>
      <w:r w:rsidR="00771558" w:rsidRPr="005A2A7A">
        <w:rPr>
          <w:rFonts w:eastAsia="Calibri" w:cs="Arial"/>
          <w:b/>
          <w:color w:val="000000"/>
          <w:sz w:val="20"/>
          <w:lang w:eastAsia="en-GB"/>
        </w:rPr>
        <w:t xml:space="preserve"> </w:t>
      </w:r>
      <w:r w:rsidRPr="005A2A7A">
        <w:rPr>
          <w:rFonts w:eastAsia="Calibri" w:cs="Arial"/>
          <w:b/>
          <w:color w:val="000000"/>
          <w:sz w:val="20"/>
          <w:lang w:eastAsia="en-GB"/>
        </w:rPr>
        <w:t>features, we explain why below.</w:t>
      </w:r>
    </w:p>
    <w:p w14:paraId="3CD8D532" w14:textId="77777777" w:rsidR="005A2A7A" w:rsidRPr="005A2A7A" w:rsidRDefault="005A2A7A" w:rsidP="005A2A7A">
      <w:pPr>
        <w:autoSpaceDE w:val="0"/>
        <w:autoSpaceDN w:val="0"/>
        <w:adjustRightInd w:val="0"/>
        <w:jc w:val="both"/>
        <w:rPr>
          <w:rFonts w:eastAsia="Calibri" w:cs="Arial"/>
          <w:color w:val="000000"/>
          <w:sz w:val="20"/>
          <w:lang w:eastAsia="en-GB"/>
        </w:rPr>
      </w:pPr>
    </w:p>
    <w:p w14:paraId="6577ABBD" w14:textId="77777777" w:rsidR="005A2A7A" w:rsidRPr="005A2A7A" w:rsidRDefault="005A2A7A" w:rsidP="005A2A7A">
      <w:pPr>
        <w:autoSpaceDE w:val="0"/>
        <w:autoSpaceDN w:val="0"/>
        <w:adjustRightInd w:val="0"/>
        <w:jc w:val="both"/>
        <w:rPr>
          <w:rFonts w:eastAsia="Calibri" w:cs="Arial"/>
          <w:color w:val="000000"/>
          <w:sz w:val="20"/>
          <w:lang w:eastAsia="en-GB"/>
        </w:rPr>
      </w:pPr>
      <w:r w:rsidRPr="005A2A7A">
        <w:rPr>
          <w:rFonts w:eastAsia="Calibri" w:cs="Arial"/>
          <w:color w:val="000000"/>
          <w:sz w:val="20"/>
          <w:lang w:eastAsia="en-GB"/>
        </w:rPr>
        <w:t>Not applicable.</w:t>
      </w:r>
    </w:p>
    <w:p w14:paraId="3B0463ED" w14:textId="77777777" w:rsidR="00D252CA" w:rsidRDefault="00D252CA" w:rsidP="00771558">
      <w:pPr>
        <w:autoSpaceDE w:val="0"/>
        <w:autoSpaceDN w:val="0"/>
        <w:adjustRightInd w:val="0"/>
        <w:jc w:val="both"/>
        <w:rPr>
          <w:rFonts w:eastAsia="Calibri" w:cs="Arial"/>
          <w:color w:val="000000"/>
          <w:sz w:val="20"/>
          <w:lang w:eastAsia="en-GB"/>
        </w:rPr>
      </w:pPr>
    </w:p>
    <w:p w14:paraId="327A5503" w14:textId="77777777" w:rsidR="00E064D9" w:rsidRPr="005A2A7A" w:rsidRDefault="00E064D9" w:rsidP="00771558">
      <w:pPr>
        <w:autoSpaceDE w:val="0"/>
        <w:autoSpaceDN w:val="0"/>
        <w:adjustRightInd w:val="0"/>
        <w:jc w:val="both"/>
        <w:rPr>
          <w:rFonts w:eastAsia="Calibri" w:cs="Arial"/>
          <w:b/>
          <w:color w:val="000000"/>
          <w:sz w:val="20"/>
          <w:lang w:eastAsia="en-GB"/>
        </w:rPr>
      </w:pPr>
      <w:r w:rsidRPr="005A2A7A">
        <w:rPr>
          <w:rFonts w:eastAsia="Calibri" w:cs="Arial"/>
          <w:b/>
          <w:color w:val="000000"/>
          <w:sz w:val="20"/>
          <w:lang w:eastAsia="en-GB"/>
        </w:rPr>
        <w:t>Where we are seeking to achieve or maintain ‘best practice’ level, we explain this below.</w:t>
      </w:r>
    </w:p>
    <w:p w14:paraId="1A1C2CBC" w14:textId="77777777" w:rsidR="00D252CA" w:rsidRPr="005A2A7A" w:rsidRDefault="00D252CA" w:rsidP="00771558">
      <w:pPr>
        <w:autoSpaceDE w:val="0"/>
        <w:autoSpaceDN w:val="0"/>
        <w:adjustRightInd w:val="0"/>
        <w:jc w:val="both"/>
        <w:rPr>
          <w:rFonts w:eastAsia="Calibri" w:cs="Arial"/>
          <w:color w:val="000000"/>
          <w:sz w:val="20"/>
          <w:lang w:eastAsia="en-GB"/>
        </w:rPr>
      </w:pPr>
    </w:p>
    <w:p w14:paraId="45ECD734" w14:textId="77777777" w:rsidR="005A2A7A" w:rsidRDefault="005A2A7A" w:rsidP="005A2A7A">
      <w:pPr>
        <w:autoSpaceDE w:val="0"/>
        <w:autoSpaceDN w:val="0"/>
        <w:adjustRightInd w:val="0"/>
        <w:jc w:val="both"/>
        <w:rPr>
          <w:rFonts w:eastAsia="Calibri" w:cs="Arial"/>
          <w:color w:val="000000"/>
          <w:sz w:val="20"/>
          <w:lang w:eastAsia="en-GB"/>
        </w:rPr>
      </w:pPr>
      <w:r w:rsidRPr="005A2A7A">
        <w:rPr>
          <w:rFonts w:eastAsia="Calibri" w:cs="Arial"/>
          <w:color w:val="000000"/>
          <w:sz w:val="20"/>
          <w:lang w:eastAsia="en-GB"/>
        </w:rPr>
        <w:t xml:space="preserve">The </w:t>
      </w:r>
      <w:r>
        <w:rPr>
          <w:rFonts w:eastAsia="Calibri" w:cs="Arial"/>
          <w:color w:val="000000"/>
          <w:sz w:val="20"/>
          <w:lang w:eastAsia="en-GB"/>
        </w:rPr>
        <w:t xml:space="preserve">Statement of Investment Principles </w:t>
      </w:r>
      <w:r w:rsidR="00625283">
        <w:rPr>
          <w:rFonts w:eastAsia="Calibri" w:cs="Arial"/>
          <w:color w:val="000000"/>
          <w:sz w:val="20"/>
          <w:lang w:eastAsia="en-GB"/>
        </w:rPr>
        <w:t>is regularly reviewed and the Trustees have semi-annual meetings with their investment advisors</w:t>
      </w:r>
      <w:r>
        <w:rPr>
          <w:rFonts w:eastAsia="Calibri" w:cs="Arial"/>
          <w:color w:val="000000"/>
          <w:sz w:val="20"/>
          <w:lang w:eastAsia="en-GB"/>
        </w:rPr>
        <w:t>.</w:t>
      </w:r>
    </w:p>
    <w:p w14:paraId="2A08B47E" w14:textId="77777777" w:rsidR="005A2A7A" w:rsidRDefault="005A2A7A" w:rsidP="005A2A7A">
      <w:pPr>
        <w:autoSpaceDE w:val="0"/>
        <w:autoSpaceDN w:val="0"/>
        <w:adjustRightInd w:val="0"/>
        <w:jc w:val="both"/>
        <w:rPr>
          <w:rFonts w:eastAsia="Calibri" w:cs="Arial"/>
          <w:color w:val="000000"/>
          <w:sz w:val="20"/>
          <w:lang w:eastAsia="en-GB"/>
        </w:rPr>
      </w:pPr>
    </w:p>
    <w:p w14:paraId="690DB923" w14:textId="77777777" w:rsidR="00B33741" w:rsidRDefault="00B33741" w:rsidP="00D252CA">
      <w:pPr>
        <w:autoSpaceDE w:val="0"/>
        <w:autoSpaceDN w:val="0"/>
        <w:adjustRightInd w:val="0"/>
        <w:jc w:val="both"/>
        <w:rPr>
          <w:rFonts w:eastAsia="Calibri" w:cs="Arial"/>
          <w:color w:val="000000"/>
          <w:sz w:val="20"/>
          <w:lang w:eastAsia="en-GB"/>
        </w:rPr>
      </w:pPr>
    </w:p>
    <w:p w14:paraId="4749539C" w14:textId="77777777" w:rsidR="00B33741" w:rsidRDefault="00B33741" w:rsidP="00D252CA">
      <w:pPr>
        <w:autoSpaceDE w:val="0"/>
        <w:autoSpaceDN w:val="0"/>
        <w:adjustRightInd w:val="0"/>
        <w:jc w:val="both"/>
        <w:rPr>
          <w:rFonts w:eastAsia="Calibri" w:cs="Arial"/>
          <w:color w:val="000000"/>
          <w:sz w:val="20"/>
          <w:lang w:eastAsia="en-GB"/>
        </w:rPr>
      </w:pPr>
    </w:p>
    <w:p w14:paraId="5D09EF6E" w14:textId="77777777" w:rsidR="00B33741" w:rsidRDefault="00B33741" w:rsidP="00D252CA">
      <w:pPr>
        <w:autoSpaceDE w:val="0"/>
        <w:autoSpaceDN w:val="0"/>
        <w:adjustRightInd w:val="0"/>
        <w:jc w:val="both"/>
        <w:rPr>
          <w:rFonts w:eastAsia="Calibri" w:cs="Arial"/>
          <w:color w:val="000000"/>
          <w:sz w:val="20"/>
          <w:lang w:eastAsia="en-GB"/>
        </w:rPr>
      </w:pPr>
    </w:p>
    <w:p w14:paraId="01FBFA4C" w14:textId="77777777" w:rsidR="00B33741" w:rsidRDefault="00B33741" w:rsidP="00D252CA">
      <w:pPr>
        <w:autoSpaceDE w:val="0"/>
        <w:autoSpaceDN w:val="0"/>
        <w:adjustRightInd w:val="0"/>
        <w:jc w:val="both"/>
        <w:rPr>
          <w:rFonts w:eastAsia="Calibri" w:cs="Arial"/>
          <w:color w:val="000000"/>
          <w:sz w:val="20"/>
          <w:lang w:eastAsia="en-GB"/>
        </w:rPr>
      </w:pPr>
    </w:p>
    <w:p w14:paraId="213C72D6" w14:textId="77777777" w:rsidR="00B33741" w:rsidRDefault="00B33741" w:rsidP="00D252CA">
      <w:pPr>
        <w:autoSpaceDE w:val="0"/>
        <w:autoSpaceDN w:val="0"/>
        <w:adjustRightInd w:val="0"/>
        <w:jc w:val="both"/>
        <w:rPr>
          <w:rFonts w:eastAsia="Calibri" w:cs="Arial"/>
          <w:color w:val="000000"/>
          <w:sz w:val="20"/>
          <w:lang w:eastAsia="en-GB"/>
        </w:rPr>
      </w:pPr>
    </w:p>
    <w:p w14:paraId="2B010E02" w14:textId="1495F9B5" w:rsidR="00D252CA" w:rsidRPr="00D252CA" w:rsidRDefault="00E064D9" w:rsidP="00D252CA">
      <w:pPr>
        <w:autoSpaceDE w:val="0"/>
        <w:autoSpaceDN w:val="0"/>
        <w:adjustRightInd w:val="0"/>
        <w:jc w:val="both"/>
        <w:rPr>
          <w:rFonts w:eastAsia="Calibri" w:cs="Arial"/>
          <w:color w:val="000000"/>
          <w:sz w:val="20"/>
          <w:lang w:eastAsia="en-GB"/>
        </w:rPr>
      </w:pPr>
      <w:r>
        <w:rPr>
          <w:rFonts w:eastAsia="Calibri" w:cs="Arial"/>
          <w:color w:val="000000"/>
          <w:sz w:val="20"/>
          <w:lang w:eastAsia="en-GB"/>
        </w:rPr>
        <w:t>The Statement regarding DC governance</w:t>
      </w:r>
      <w:r w:rsidR="00771558">
        <w:rPr>
          <w:rFonts w:eastAsia="Calibri" w:cs="Arial"/>
          <w:color w:val="000000"/>
          <w:sz w:val="20"/>
          <w:lang w:eastAsia="en-GB"/>
        </w:rPr>
        <w:t xml:space="preserve"> </w:t>
      </w:r>
      <w:r>
        <w:rPr>
          <w:rFonts w:eastAsia="Calibri" w:cs="Arial"/>
          <w:color w:val="000000"/>
          <w:sz w:val="20"/>
          <w:lang w:eastAsia="en-GB"/>
        </w:rPr>
        <w:t xml:space="preserve">was approved by the Trustees on </w:t>
      </w:r>
      <w:r w:rsidR="00B33741">
        <w:rPr>
          <w:rFonts w:eastAsia="Calibri" w:cs="Arial"/>
          <w:color w:val="000000"/>
          <w:sz w:val="20"/>
          <w:lang w:eastAsia="en-GB"/>
        </w:rPr>
        <w:t xml:space="preserve">       </w:t>
      </w:r>
      <w:r w:rsidR="00BC1CAF">
        <w:rPr>
          <w:rFonts w:eastAsia="Calibri" w:cs="Arial"/>
          <w:color w:val="000000"/>
          <w:sz w:val="20"/>
          <w:lang w:eastAsia="en-GB"/>
        </w:rPr>
        <w:t xml:space="preserve">         </w:t>
      </w:r>
      <w:r w:rsidR="00B33741">
        <w:rPr>
          <w:rFonts w:eastAsia="Calibri" w:cs="Arial"/>
          <w:color w:val="000000"/>
          <w:sz w:val="20"/>
          <w:lang w:eastAsia="en-GB"/>
        </w:rPr>
        <w:t>20</w:t>
      </w:r>
      <w:r w:rsidR="00A54DCA">
        <w:rPr>
          <w:rFonts w:eastAsia="Calibri" w:cs="Arial"/>
          <w:color w:val="000000"/>
          <w:sz w:val="20"/>
          <w:lang w:eastAsia="en-GB"/>
        </w:rPr>
        <w:t>2</w:t>
      </w:r>
      <w:r w:rsidR="008E0A48">
        <w:rPr>
          <w:rFonts w:eastAsia="Calibri" w:cs="Arial"/>
          <w:color w:val="000000"/>
          <w:sz w:val="20"/>
          <w:lang w:eastAsia="en-GB"/>
        </w:rPr>
        <w:t>4</w:t>
      </w:r>
      <w:r w:rsidR="00B33741">
        <w:rPr>
          <w:rFonts w:eastAsia="Calibri" w:cs="Arial"/>
          <w:color w:val="000000"/>
          <w:sz w:val="20"/>
          <w:lang w:eastAsia="en-GB"/>
        </w:rPr>
        <w:t xml:space="preserve"> </w:t>
      </w:r>
      <w:r w:rsidR="00D252CA">
        <w:rPr>
          <w:rFonts w:eastAsia="Calibri" w:cs="Arial"/>
          <w:color w:val="000000"/>
          <w:sz w:val="20"/>
          <w:lang w:eastAsia="en-GB"/>
        </w:rPr>
        <w:t>and signed on their behalf by:</w:t>
      </w:r>
    </w:p>
    <w:p w14:paraId="62831A19" w14:textId="77777777" w:rsidR="00D252CA" w:rsidRPr="00D252CA" w:rsidRDefault="00D252CA" w:rsidP="00D252CA">
      <w:pPr>
        <w:rPr>
          <w:rFonts w:eastAsia="Calibri"/>
          <w:lang w:eastAsia="en-GB"/>
        </w:rPr>
      </w:pPr>
    </w:p>
    <w:p w14:paraId="5A8D13D6" w14:textId="36FEA900" w:rsidR="00D252CA" w:rsidRDefault="00D252CA" w:rsidP="00771558">
      <w:pPr>
        <w:autoSpaceDE w:val="0"/>
        <w:autoSpaceDN w:val="0"/>
        <w:adjustRightInd w:val="0"/>
        <w:jc w:val="both"/>
        <w:rPr>
          <w:rFonts w:eastAsia="Calibri" w:cs="Arial"/>
          <w:color w:val="000000"/>
          <w:sz w:val="20"/>
          <w:lang w:eastAsia="en-GB"/>
        </w:rPr>
      </w:pPr>
    </w:p>
    <w:p w14:paraId="3FDB051D" w14:textId="77777777" w:rsidR="00B33741" w:rsidRPr="00B33741" w:rsidRDefault="00B33741" w:rsidP="00B33741">
      <w:pPr>
        <w:rPr>
          <w:rFonts w:eastAsia="Calibri"/>
          <w:lang w:eastAsia="en-GB"/>
        </w:rPr>
      </w:pPr>
    </w:p>
    <w:p w14:paraId="713EE204" w14:textId="77777777" w:rsidR="00D252CA" w:rsidRPr="00D252CA" w:rsidRDefault="00D252CA" w:rsidP="00D252CA">
      <w:pPr>
        <w:rPr>
          <w:rFonts w:eastAsia="Calibri"/>
          <w:lang w:eastAsia="en-GB"/>
        </w:rPr>
      </w:pPr>
    </w:p>
    <w:p w14:paraId="1471952A" w14:textId="2B490390" w:rsidR="00E064D9" w:rsidRDefault="00F147A7" w:rsidP="00771558">
      <w:pPr>
        <w:autoSpaceDE w:val="0"/>
        <w:autoSpaceDN w:val="0"/>
        <w:adjustRightInd w:val="0"/>
        <w:jc w:val="both"/>
        <w:rPr>
          <w:rFonts w:eastAsia="Calibri" w:cs="Arial"/>
          <w:color w:val="000000"/>
          <w:sz w:val="20"/>
          <w:lang w:eastAsia="en-GB"/>
        </w:rPr>
      </w:pPr>
      <w:r>
        <w:rPr>
          <w:rFonts w:eastAsia="Calibri" w:cs="Arial"/>
          <w:color w:val="000000"/>
          <w:sz w:val="20"/>
          <w:lang w:eastAsia="en-GB"/>
        </w:rPr>
        <w:t xml:space="preserve">R A </w:t>
      </w:r>
      <w:r w:rsidR="00625283">
        <w:rPr>
          <w:rFonts w:eastAsia="Calibri" w:cs="Arial"/>
          <w:color w:val="000000"/>
          <w:sz w:val="20"/>
          <w:lang w:eastAsia="en-GB"/>
        </w:rPr>
        <w:t>Holmes</w:t>
      </w:r>
    </w:p>
    <w:p w14:paraId="64741A56" w14:textId="77777777" w:rsidR="005A2A7A" w:rsidRDefault="00E064D9" w:rsidP="00771558">
      <w:pPr>
        <w:autoSpaceDE w:val="0"/>
        <w:autoSpaceDN w:val="0"/>
        <w:adjustRightInd w:val="0"/>
        <w:jc w:val="both"/>
        <w:rPr>
          <w:rFonts w:eastAsia="Calibri" w:cs="Arial"/>
          <w:color w:val="000000"/>
          <w:sz w:val="20"/>
          <w:lang w:eastAsia="en-GB"/>
        </w:rPr>
      </w:pPr>
      <w:r>
        <w:rPr>
          <w:rFonts w:eastAsia="Calibri" w:cs="Arial"/>
          <w:color w:val="000000"/>
          <w:sz w:val="20"/>
          <w:lang w:eastAsia="en-GB"/>
        </w:rPr>
        <w:t>Chairman</w:t>
      </w:r>
      <w:r w:rsidR="005A2A7A">
        <w:rPr>
          <w:rFonts w:eastAsia="Calibri" w:cs="Arial"/>
          <w:color w:val="000000"/>
          <w:sz w:val="20"/>
          <w:lang w:eastAsia="en-GB"/>
        </w:rPr>
        <w:br/>
      </w:r>
    </w:p>
    <w:p w14:paraId="55234A47" w14:textId="77777777" w:rsidR="004C236D" w:rsidRPr="004C236D" w:rsidRDefault="004C236D" w:rsidP="00CA1255">
      <w:pPr>
        <w:pStyle w:val="Heading1"/>
        <w:rPr>
          <w:rFonts w:eastAsia="Calibri"/>
          <w:lang w:eastAsia="en-GB"/>
        </w:rPr>
      </w:pPr>
    </w:p>
    <w:sectPr w:rsidR="004C236D" w:rsidRPr="004C236D" w:rsidSect="00B82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765B"/>
    <w:multiLevelType w:val="hybridMultilevel"/>
    <w:tmpl w:val="1AE4E53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208251B5"/>
    <w:multiLevelType w:val="hybridMultilevel"/>
    <w:tmpl w:val="E668A694"/>
    <w:lvl w:ilvl="0" w:tplc="C70EF6BE">
      <w:start w:val="1"/>
      <w:numFmt w:val="decimal"/>
      <w:lvlText w:val="%1."/>
      <w:lvlJc w:val="left"/>
      <w:pPr>
        <w:ind w:left="720" w:hanging="360"/>
      </w:pPr>
      <w:rPr>
        <w:rFonts w:ascii="Arial" w:eastAsia="Calibri" w:hAnsi="Arial" w:cs="Times New Roman"/>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C07695"/>
    <w:multiLevelType w:val="multilevel"/>
    <w:tmpl w:val="FE384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766C3"/>
    <w:multiLevelType w:val="hybridMultilevel"/>
    <w:tmpl w:val="2ADE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504D7"/>
    <w:multiLevelType w:val="hybridMultilevel"/>
    <w:tmpl w:val="76AE5368"/>
    <w:lvl w:ilvl="0" w:tplc="1C4608E4">
      <w:start w:val="1"/>
      <w:numFmt w:val="decimal"/>
      <w:lvlText w:val="%1."/>
      <w:lvlJc w:val="left"/>
      <w:pPr>
        <w:ind w:left="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D8F6B0">
      <w:start w:val="1"/>
      <w:numFmt w:val="lowerLetter"/>
      <w:lvlText w:val="%2"/>
      <w:lvlJc w:val="left"/>
      <w:pPr>
        <w:ind w:left="1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F03A94">
      <w:start w:val="1"/>
      <w:numFmt w:val="lowerRoman"/>
      <w:lvlText w:val="%3"/>
      <w:lvlJc w:val="left"/>
      <w:pPr>
        <w:ind w:left="1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7EAFFA">
      <w:start w:val="1"/>
      <w:numFmt w:val="decimal"/>
      <w:lvlText w:val="%4"/>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451EE">
      <w:start w:val="1"/>
      <w:numFmt w:val="lowerLetter"/>
      <w:lvlText w:val="%5"/>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742C34">
      <w:start w:val="1"/>
      <w:numFmt w:val="lowerRoman"/>
      <w:lvlText w:val="%6"/>
      <w:lvlJc w:val="left"/>
      <w:pPr>
        <w:ind w:left="3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54DD94">
      <w:start w:val="1"/>
      <w:numFmt w:val="decimal"/>
      <w:lvlText w:val="%7"/>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E898E">
      <w:start w:val="1"/>
      <w:numFmt w:val="lowerLetter"/>
      <w:lvlText w:val="%8"/>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FC0CFE">
      <w:start w:val="1"/>
      <w:numFmt w:val="lowerRoman"/>
      <w:lvlText w:val="%9"/>
      <w:lvlJc w:val="left"/>
      <w:pPr>
        <w:ind w:left="6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624FE2"/>
    <w:multiLevelType w:val="hybridMultilevel"/>
    <w:tmpl w:val="AE84731A"/>
    <w:lvl w:ilvl="0" w:tplc="0809000F">
      <w:start w:val="1"/>
      <w:numFmt w:val="decimal"/>
      <w:lvlText w:val="%1."/>
      <w:lvlJc w:val="left"/>
      <w:pPr>
        <w:ind w:left="885" w:hanging="360"/>
      </w:pPr>
      <w:rPr>
        <w:rFonts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6" w15:restartNumberingAfterBreak="0">
    <w:nsid w:val="6F1C53AE"/>
    <w:multiLevelType w:val="hybridMultilevel"/>
    <w:tmpl w:val="3C3E8AD2"/>
    <w:lvl w:ilvl="0" w:tplc="08090005">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1101023729">
    <w:abstractNumId w:val="1"/>
  </w:num>
  <w:num w:numId="2" w16cid:durableId="764304559">
    <w:abstractNumId w:val="6"/>
  </w:num>
  <w:num w:numId="3" w16cid:durableId="1255940924">
    <w:abstractNumId w:val="2"/>
  </w:num>
  <w:num w:numId="4" w16cid:durableId="1861433718">
    <w:abstractNumId w:val="4"/>
  </w:num>
  <w:num w:numId="5" w16cid:durableId="1780375786">
    <w:abstractNumId w:val="3"/>
  </w:num>
  <w:num w:numId="6" w16cid:durableId="1950351544">
    <w:abstractNumId w:val="0"/>
  </w:num>
  <w:num w:numId="7" w16cid:durableId="111166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95"/>
    <w:rsid w:val="00022DF6"/>
    <w:rsid w:val="00043311"/>
    <w:rsid w:val="00046BA7"/>
    <w:rsid w:val="000621ED"/>
    <w:rsid w:val="00083803"/>
    <w:rsid w:val="000A2606"/>
    <w:rsid w:val="00111161"/>
    <w:rsid w:val="00140533"/>
    <w:rsid w:val="00144591"/>
    <w:rsid w:val="00147B99"/>
    <w:rsid w:val="002741DA"/>
    <w:rsid w:val="002B3513"/>
    <w:rsid w:val="002C36B2"/>
    <w:rsid w:val="002D3884"/>
    <w:rsid w:val="002E4D31"/>
    <w:rsid w:val="002F7CED"/>
    <w:rsid w:val="00325699"/>
    <w:rsid w:val="003C5668"/>
    <w:rsid w:val="00400A25"/>
    <w:rsid w:val="004341AC"/>
    <w:rsid w:val="0043639F"/>
    <w:rsid w:val="004513B2"/>
    <w:rsid w:val="0045387C"/>
    <w:rsid w:val="004A4E95"/>
    <w:rsid w:val="004B1924"/>
    <w:rsid w:val="004C236D"/>
    <w:rsid w:val="004E0AC6"/>
    <w:rsid w:val="004E3FA4"/>
    <w:rsid w:val="00500905"/>
    <w:rsid w:val="00530627"/>
    <w:rsid w:val="0053672D"/>
    <w:rsid w:val="0054628D"/>
    <w:rsid w:val="00566A49"/>
    <w:rsid w:val="005A0E84"/>
    <w:rsid w:val="005A2A7A"/>
    <w:rsid w:val="005A6D81"/>
    <w:rsid w:val="005A70D9"/>
    <w:rsid w:val="005A7E93"/>
    <w:rsid w:val="005B49C6"/>
    <w:rsid w:val="005F5ABB"/>
    <w:rsid w:val="00615436"/>
    <w:rsid w:val="00625283"/>
    <w:rsid w:val="006350BE"/>
    <w:rsid w:val="00637E19"/>
    <w:rsid w:val="00685815"/>
    <w:rsid w:val="00714E61"/>
    <w:rsid w:val="00716963"/>
    <w:rsid w:val="00771558"/>
    <w:rsid w:val="007A0283"/>
    <w:rsid w:val="007A24B9"/>
    <w:rsid w:val="007A2DCB"/>
    <w:rsid w:val="007B07A5"/>
    <w:rsid w:val="007C00BF"/>
    <w:rsid w:val="007E461A"/>
    <w:rsid w:val="00821160"/>
    <w:rsid w:val="00832A0F"/>
    <w:rsid w:val="00861CFC"/>
    <w:rsid w:val="008829BB"/>
    <w:rsid w:val="0089279C"/>
    <w:rsid w:val="008E0A48"/>
    <w:rsid w:val="00922C22"/>
    <w:rsid w:val="00936507"/>
    <w:rsid w:val="00963A86"/>
    <w:rsid w:val="009A089A"/>
    <w:rsid w:val="009A49AA"/>
    <w:rsid w:val="009C4622"/>
    <w:rsid w:val="00A10FDF"/>
    <w:rsid w:val="00A40024"/>
    <w:rsid w:val="00A54DCA"/>
    <w:rsid w:val="00A742BE"/>
    <w:rsid w:val="00A9434D"/>
    <w:rsid w:val="00AB3B80"/>
    <w:rsid w:val="00AB3DEC"/>
    <w:rsid w:val="00AB7AF9"/>
    <w:rsid w:val="00B27603"/>
    <w:rsid w:val="00B277EB"/>
    <w:rsid w:val="00B330ED"/>
    <w:rsid w:val="00B33741"/>
    <w:rsid w:val="00B46EEB"/>
    <w:rsid w:val="00B73EE0"/>
    <w:rsid w:val="00B82F2D"/>
    <w:rsid w:val="00BB2368"/>
    <w:rsid w:val="00BC1CAF"/>
    <w:rsid w:val="00BC2491"/>
    <w:rsid w:val="00C1031B"/>
    <w:rsid w:val="00C36FFF"/>
    <w:rsid w:val="00C62B3F"/>
    <w:rsid w:val="00C72E60"/>
    <w:rsid w:val="00C8670B"/>
    <w:rsid w:val="00CA1255"/>
    <w:rsid w:val="00CA5727"/>
    <w:rsid w:val="00CA6814"/>
    <w:rsid w:val="00CE33F8"/>
    <w:rsid w:val="00D00DEA"/>
    <w:rsid w:val="00D252CA"/>
    <w:rsid w:val="00D61A09"/>
    <w:rsid w:val="00DA46DD"/>
    <w:rsid w:val="00DC0985"/>
    <w:rsid w:val="00DE6623"/>
    <w:rsid w:val="00E064D9"/>
    <w:rsid w:val="00E106A7"/>
    <w:rsid w:val="00E2140A"/>
    <w:rsid w:val="00E26813"/>
    <w:rsid w:val="00E437F5"/>
    <w:rsid w:val="00E64124"/>
    <w:rsid w:val="00ED28D2"/>
    <w:rsid w:val="00ED5975"/>
    <w:rsid w:val="00EF714A"/>
    <w:rsid w:val="00EF7D1B"/>
    <w:rsid w:val="00F03C9B"/>
    <w:rsid w:val="00F147A7"/>
    <w:rsid w:val="00F31022"/>
    <w:rsid w:val="00F313D1"/>
    <w:rsid w:val="00F3729A"/>
    <w:rsid w:val="00F42ACC"/>
    <w:rsid w:val="00F43C0B"/>
    <w:rsid w:val="00F6368E"/>
    <w:rsid w:val="00F76DA2"/>
    <w:rsid w:val="00FA6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D6A3"/>
  <w15:docId w15:val="{CFE8F0CD-3989-4798-AEA1-C28E146B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4A4E95"/>
    <w:rPr>
      <w:rFonts w:ascii="Arial" w:eastAsia="Times New Roman" w:hAnsi="Arial"/>
      <w:sz w:val="24"/>
      <w:lang w:eastAsia="en-US"/>
    </w:rPr>
  </w:style>
  <w:style w:type="paragraph" w:styleId="Heading1">
    <w:name w:val="heading 1"/>
    <w:basedOn w:val="Normal"/>
    <w:next w:val="Normal"/>
    <w:link w:val="Heading1Char"/>
    <w:uiPriority w:val="9"/>
    <w:qFormat/>
    <w:rsid w:val="004A4E95"/>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E95"/>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4A4E95"/>
    <w:rPr>
      <w:rFonts w:ascii="Cambria" w:eastAsia="Times New Roman" w:hAnsi="Cambria" w:cs="Times New Roman"/>
      <w:b/>
      <w:bCs/>
      <w:color w:val="365F91"/>
      <w:sz w:val="28"/>
      <w:szCs w:val="28"/>
    </w:rPr>
  </w:style>
  <w:style w:type="paragraph" w:customStyle="1" w:styleId="Default">
    <w:name w:val="Default"/>
    <w:rsid w:val="005A2A7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21160"/>
    <w:rPr>
      <w:rFonts w:ascii="Tahoma" w:hAnsi="Tahoma" w:cs="Tahoma"/>
      <w:sz w:val="16"/>
      <w:szCs w:val="16"/>
    </w:rPr>
  </w:style>
  <w:style w:type="character" w:customStyle="1" w:styleId="BalloonTextChar">
    <w:name w:val="Balloon Text Char"/>
    <w:basedOn w:val="DefaultParagraphFont"/>
    <w:link w:val="BalloonText"/>
    <w:uiPriority w:val="99"/>
    <w:semiHidden/>
    <w:rsid w:val="00821160"/>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615436"/>
    <w:rPr>
      <w:sz w:val="16"/>
      <w:szCs w:val="16"/>
    </w:rPr>
  </w:style>
  <w:style w:type="paragraph" w:styleId="CommentText">
    <w:name w:val="annotation text"/>
    <w:basedOn w:val="Normal"/>
    <w:link w:val="CommentTextChar"/>
    <w:uiPriority w:val="99"/>
    <w:semiHidden/>
    <w:unhideWhenUsed/>
    <w:rsid w:val="00615436"/>
    <w:rPr>
      <w:sz w:val="20"/>
    </w:rPr>
  </w:style>
  <w:style w:type="character" w:customStyle="1" w:styleId="CommentTextChar">
    <w:name w:val="Comment Text Char"/>
    <w:basedOn w:val="DefaultParagraphFont"/>
    <w:link w:val="CommentText"/>
    <w:uiPriority w:val="99"/>
    <w:semiHidden/>
    <w:rsid w:val="00615436"/>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615436"/>
    <w:rPr>
      <w:b/>
      <w:bCs/>
    </w:rPr>
  </w:style>
  <w:style w:type="character" w:customStyle="1" w:styleId="CommentSubjectChar">
    <w:name w:val="Comment Subject Char"/>
    <w:basedOn w:val="CommentTextChar"/>
    <w:link w:val="CommentSubject"/>
    <w:uiPriority w:val="99"/>
    <w:semiHidden/>
    <w:rsid w:val="00615436"/>
    <w:rPr>
      <w:rFonts w:ascii="Arial" w:eastAsia="Times New Roman" w:hAnsi="Arial"/>
      <w:b/>
      <w:bCs/>
      <w:lang w:eastAsia="en-US"/>
    </w:rPr>
  </w:style>
  <w:style w:type="table" w:customStyle="1" w:styleId="TableGrid">
    <w:name w:val="TableGrid"/>
    <w:rsid w:val="00A742B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9195">
      <w:bodyDiv w:val="1"/>
      <w:marLeft w:val="0"/>
      <w:marRight w:val="0"/>
      <w:marTop w:val="0"/>
      <w:marBottom w:val="0"/>
      <w:divBdr>
        <w:top w:val="none" w:sz="0" w:space="0" w:color="auto"/>
        <w:left w:val="none" w:sz="0" w:space="0" w:color="auto"/>
        <w:bottom w:val="none" w:sz="0" w:space="0" w:color="auto"/>
        <w:right w:val="none" w:sz="0" w:space="0" w:color="auto"/>
      </w:divBdr>
      <w:divsChild>
        <w:div w:id="1792507163">
          <w:marLeft w:val="0"/>
          <w:marRight w:val="0"/>
          <w:marTop w:val="0"/>
          <w:marBottom w:val="0"/>
          <w:divBdr>
            <w:top w:val="none" w:sz="0" w:space="0" w:color="auto"/>
            <w:left w:val="none" w:sz="0" w:space="0" w:color="auto"/>
            <w:bottom w:val="none" w:sz="0" w:space="0" w:color="auto"/>
            <w:right w:val="none" w:sz="0" w:space="0" w:color="auto"/>
          </w:divBdr>
          <w:divsChild>
            <w:div w:id="1045721112">
              <w:marLeft w:val="0"/>
              <w:marRight w:val="0"/>
              <w:marTop w:val="0"/>
              <w:marBottom w:val="0"/>
              <w:divBdr>
                <w:top w:val="none" w:sz="0" w:space="0" w:color="auto"/>
                <w:left w:val="none" w:sz="0" w:space="0" w:color="auto"/>
                <w:bottom w:val="none" w:sz="0" w:space="0" w:color="auto"/>
                <w:right w:val="none" w:sz="0" w:space="0" w:color="auto"/>
              </w:divBdr>
              <w:divsChild>
                <w:div w:id="1600794245">
                  <w:marLeft w:val="0"/>
                  <w:marRight w:val="0"/>
                  <w:marTop w:val="0"/>
                  <w:marBottom w:val="0"/>
                  <w:divBdr>
                    <w:top w:val="none" w:sz="0" w:space="0" w:color="auto"/>
                    <w:left w:val="none" w:sz="0" w:space="0" w:color="auto"/>
                    <w:bottom w:val="none" w:sz="0" w:space="0" w:color="auto"/>
                    <w:right w:val="none" w:sz="0" w:space="0" w:color="auto"/>
                  </w:divBdr>
                  <w:divsChild>
                    <w:div w:id="327027992">
                      <w:marLeft w:val="0"/>
                      <w:marRight w:val="0"/>
                      <w:marTop w:val="0"/>
                      <w:marBottom w:val="0"/>
                      <w:divBdr>
                        <w:top w:val="none" w:sz="0" w:space="0" w:color="auto"/>
                        <w:left w:val="none" w:sz="0" w:space="0" w:color="auto"/>
                        <w:bottom w:val="none" w:sz="0" w:space="0" w:color="auto"/>
                        <w:right w:val="none" w:sz="0" w:space="0" w:color="auto"/>
                      </w:divBdr>
                      <w:divsChild>
                        <w:div w:id="1956600352">
                          <w:marLeft w:val="0"/>
                          <w:marRight w:val="0"/>
                          <w:marTop w:val="0"/>
                          <w:marBottom w:val="0"/>
                          <w:divBdr>
                            <w:top w:val="none" w:sz="0" w:space="0" w:color="auto"/>
                            <w:left w:val="none" w:sz="0" w:space="0" w:color="auto"/>
                            <w:bottom w:val="none" w:sz="0" w:space="0" w:color="auto"/>
                            <w:right w:val="none" w:sz="0" w:space="0" w:color="auto"/>
                          </w:divBdr>
                          <w:divsChild>
                            <w:div w:id="475492163">
                              <w:marLeft w:val="0"/>
                              <w:marRight w:val="0"/>
                              <w:marTop w:val="0"/>
                              <w:marBottom w:val="0"/>
                              <w:divBdr>
                                <w:top w:val="none" w:sz="0" w:space="0" w:color="auto"/>
                                <w:left w:val="none" w:sz="0" w:space="0" w:color="auto"/>
                                <w:bottom w:val="none" w:sz="0" w:space="0" w:color="auto"/>
                                <w:right w:val="none" w:sz="0" w:space="0" w:color="auto"/>
                              </w:divBdr>
                              <w:divsChild>
                                <w:div w:id="1475565762">
                                  <w:marLeft w:val="0"/>
                                  <w:marRight w:val="0"/>
                                  <w:marTop w:val="0"/>
                                  <w:marBottom w:val="0"/>
                                  <w:divBdr>
                                    <w:top w:val="none" w:sz="0" w:space="0" w:color="auto"/>
                                    <w:left w:val="none" w:sz="0" w:space="0" w:color="auto"/>
                                    <w:bottom w:val="none" w:sz="0" w:space="0" w:color="auto"/>
                                    <w:right w:val="none" w:sz="0" w:space="0" w:color="auto"/>
                                  </w:divBdr>
                                  <w:divsChild>
                                    <w:div w:id="472018824">
                                      <w:marLeft w:val="0"/>
                                      <w:marRight w:val="0"/>
                                      <w:marTop w:val="0"/>
                                      <w:marBottom w:val="0"/>
                                      <w:divBdr>
                                        <w:top w:val="none" w:sz="0" w:space="0" w:color="auto"/>
                                        <w:left w:val="none" w:sz="0" w:space="0" w:color="auto"/>
                                        <w:bottom w:val="none" w:sz="0" w:space="0" w:color="auto"/>
                                        <w:right w:val="none" w:sz="0" w:space="0" w:color="auto"/>
                                      </w:divBdr>
                                      <w:divsChild>
                                        <w:div w:id="9071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97CB9AE906246A67541326CA9A8F1" ma:contentTypeVersion="15" ma:contentTypeDescription="Create a new document." ma:contentTypeScope="" ma:versionID="52197fdbcdbbadf418270bace8cf4b2e">
  <xsd:schema xmlns:xsd="http://www.w3.org/2001/XMLSchema" xmlns:xs="http://www.w3.org/2001/XMLSchema" xmlns:p="http://schemas.microsoft.com/office/2006/metadata/properties" xmlns:ns2="76d674b7-5cbe-49ce-9d79-ad6a43481b63" xmlns:ns3="558ade7c-5971-49ae-867f-66b2979196a5" targetNamespace="http://schemas.microsoft.com/office/2006/metadata/properties" ma:root="true" ma:fieldsID="22cf44b860a8a3dfb0a27ff0b64b1088" ns2:_="" ns3:_="">
    <xsd:import namespace="76d674b7-5cbe-49ce-9d79-ad6a43481b63"/>
    <xsd:import namespace="558ade7c-5971-49ae-867f-66b2979196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674b7-5cbe-49ce-9d79-ad6a43481b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ae32ace4-5087-4f8b-8787-f587ca0810eb}" ma:internalName="TaxCatchAll" ma:showField="CatchAllData" ma:web="76d674b7-5cbe-49ce-9d79-ad6a43481b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ade7c-5971-49ae-867f-66b2979196a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3a215b-c1cc-4db1-a0a9-d3e7a24884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E0F6B-CDBE-4B5A-B325-7747472DE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674b7-5cbe-49ce-9d79-ad6a43481b63"/>
    <ds:schemaRef ds:uri="558ade7c-5971-49ae-867f-66b297919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7D7E2-7B46-4EA9-8B75-359F84FD2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lathama</dc:creator>
  <cp:lastModifiedBy>bobholmes7</cp:lastModifiedBy>
  <cp:revision>2</cp:revision>
  <cp:lastPrinted>2016-07-06T11:00:00Z</cp:lastPrinted>
  <dcterms:created xsi:type="dcterms:W3CDTF">2024-06-18T10:00:00Z</dcterms:created>
  <dcterms:modified xsi:type="dcterms:W3CDTF">2024-06-18T10:00:00Z</dcterms:modified>
</cp:coreProperties>
</file>